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word/_rels/document.xml.rels" ContentType="application/vnd.openxmlformats-package.relationship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Props/core.xml" ContentType="application/vnd.openxmlformats-package.core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jc w:val="center"/>
        <w:rPr>
          <w:sz w:val="40"/>
          <w:szCs w:val="40"/>
        </w:rPr>
      </w:pPr>
      <w:r>
        <w:rPr>
          <w:rFonts w:cs="Times New Roman" w:ascii="Times New Roman" w:hAnsi="Times New Roman"/>
          <w:b/>
          <w:bCs/>
          <w:sz w:val="40"/>
          <w:szCs w:val="40"/>
        </w:rPr>
        <w:t>Муниципальный инвестиционный стандарт</w:t>
      </w:r>
    </w:p>
    <w:tbl>
      <w:tblPr>
        <w:tblStyle w:val="a9"/>
        <w:tblW w:w="14737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noVBand="1" w:val="04a0" w:noHBand="0" w:lastColumn="0" w:firstColumn="1" w:lastRow="0" w:firstRow="1"/>
      </w:tblPr>
      <w:tblGrid>
        <w:gridCol w:w="6916"/>
        <w:gridCol w:w="7820"/>
      </w:tblGrid>
      <w:tr>
        <w:trPr/>
        <w:tc>
          <w:tcPr>
            <w:tcW w:w="6916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Наименование МО</w:t>
            </w:r>
          </w:p>
        </w:tc>
        <w:tc>
          <w:tcPr>
            <w:tcW w:w="7820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Копейский городской округ (далее – КГО)</w:t>
            </w:r>
          </w:p>
        </w:tc>
      </w:tr>
      <w:tr>
        <w:trPr/>
        <w:tc>
          <w:tcPr>
            <w:tcW w:w="6916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ФИО и должность лица, ответственного за предоставление информации</w:t>
            </w:r>
          </w:p>
        </w:tc>
        <w:tc>
          <w:tcPr>
            <w:tcW w:w="7820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Воробьева Елена Анатольевна</w:t>
            </w:r>
          </w:p>
        </w:tc>
      </w:tr>
      <w:tr>
        <w:trPr>
          <w:trHeight w:val="353" w:hRule="atLeast"/>
        </w:trPr>
        <w:tc>
          <w:tcPr>
            <w:tcW w:w="6916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Эл.почта, телефон ответственного лица</w:t>
            </w:r>
          </w:p>
        </w:tc>
        <w:tc>
          <w:tcPr>
            <w:tcW w:w="7820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8(35139) 40-150</w:t>
            </w: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en-US" w:eastAsia="en-US" w:bidi="ar-SA"/>
              </w:rPr>
              <w:t xml:space="preserve"> torg@akgo74</w:t>
            </w: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.</w:t>
            </w: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en-US" w:eastAsia="en-US" w:bidi="ar-SA"/>
              </w:rPr>
              <w:t>ru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</w:tbl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tbl>
      <w:tblPr>
        <w:tblStyle w:val="a9"/>
        <w:tblW w:w="14737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noVBand="1" w:val="04a0" w:noHBand="0" w:lastColumn="0" w:firstColumn="1" w:lastRow="0" w:firstRow="1"/>
      </w:tblPr>
      <w:tblGrid>
        <w:gridCol w:w="577"/>
        <w:gridCol w:w="4582"/>
        <w:gridCol w:w="9578"/>
      </w:tblGrid>
      <w:tr>
        <w:trPr/>
        <w:tc>
          <w:tcPr>
            <w:tcW w:w="577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Calibri" w:hAnsi="Calibri" w:eastAsia="Calibri" w:cs=""/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1</w:t>
            </w:r>
          </w:p>
        </w:tc>
        <w:tc>
          <w:tcPr>
            <w:tcW w:w="4582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Calibri" w:hAnsi="Calibri" w:eastAsia="Calibri" w:cs=""/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Формирование раздела в сфере инвестиционной деятельности на информационном ресурсе муниципального образования в сети “Интернет”</w:t>
            </w:r>
          </w:p>
        </w:tc>
        <w:tc>
          <w:tcPr>
            <w:tcW w:w="9578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На официальном сайте КГО создан раздел «Инвесторам»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">
              <w:r>
                <w:rPr>
                  <w:rStyle w:val="Hyperlink"/>
                  <w:rFonts w:eastAsia="Calibri" w:cs="Times New Roman" w:ascii="Times New Roman" w:hAnsi="Times New Roman"/>
                  <w:kern w:val="0"/>
                  <w:sz w:val="24"/>
                  <w:szCs w:val="24"/>
                  <w:lang w:val="ru-RU" w:eastAsia="en-US" w:bidi="ar-SA"/>
                </w:rPr>
                <w:t>https://akgo74.ru/about/investoram.php</w:t>
              </w:r>
            </w:hyperlink>
          </w:p>
        </w:tc>
      </w:tr>
      <w:tr>
        <w:trPr/>
        <w:tc>
          <w:tcPr>
            <w:tcW w:w="577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1.1.</w:t>
            </w:r>
          </w:p>
        </w:tc>
        <w:tc>
          <w:tcPr>
            <w:tcW w:w="4582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i w:val="false"/>
                <w:i w:val="false"/>
                <w:iCs w:val="false"/>
              </w:rPr>
            </w:pPr>
            <w:r>
              <w:rPr>
                <w:rFonts w:eastAsia="Calibri" w:cs="Times New Roman" w:ascii="Times New Roman" w:hAnsi="Times New Roman"/>
                <w:bCs/>
                <w:i w:val="false"/>
                <w:iCs w:val="false"/>
                <w:kern w:val="0"/>
                <w:sz w:val="24"/>
                <w:szCs w:val="24"/>
                <w:lang w:val="ru-RU" w:eastAsia="en-US" w:bidi="ar-SA"/>
              </w:rPr>
              <w:t>Аналитика в виде инфографики (МО, ресурсы, потенциальные ресурсы, базовые компании, отраслевой фокус)</w:t>
            </w:r>
          </w:p>
        </w:tc>
        <w:tc>
          <w:tcPr>
            <w:tcW w:w="9578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iCs/>
                <w:kern w:val="0"/>
                <w:sz w:val="24"/>
                <w:szCs w:val="24"/>
                <w:lang w:val="ru-RU" w:eastAsia="en-US" w:bidi="ar-SA"/>
              </w:rPr>
              <w:t>«Инвестиционный профиль КГО» размещен на сайте КГО в разделе «Инвесторам»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both"/>
              <w:rPr>
                <w:rFonts w:ascii="Times New Roman" w:hAnsi="Times New Roman" w:cs="Times New Roman"/>
                <w:iCs/>
                <w:color w:themeColor="background1" w:themeShade="a6" w:val="A6A6A6"/>
                <w:sz w:val="24"/>
                <w:szCs w:val="24"/>
              </w:rPr>
            </w:pPr>
            <w:hyperlink r:id="rId3">
              <w:r>
                <w:rPr>
                  <w:rStyle w:val="Hyperlink"/>
                  <w:rFonts w:eastAsia="Calibri" w:cs="Times New Roman" w:ascii="Times New Roman" w:hAnsi="Times New Roman"/>
                  <w:iCs/>
                  <w:kern w:val="0"/>
                  <w:sz w:val="24"/>
                  <w:szCs w:val="24"/>
                  <w:lang w:val="ru-RU" w:eastAsia="en-US" w:bidi="ar-SA"/>
                </w:rPr>
                <w:t>https://www.akgo74.ru/about/investoram.php</w:t>
              </w:r>
            </w:hyperlink>
          </w:p>
        </w:tc>
      </w:tr>
      <w:tr>
        <w:trPr/>
        <w:tc>
          <w:tcPr>
            <w:tcW w:w="577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1.2</w:t>
            </w:r>
          </w:p>
        </w:tc>
        <w:tc>
          <w:tcPr>
            <w:tcW w:w="4582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i w:val="false"/>
                <w:i w:val="false"/>
                <w:iCs w:val="false"/>
              </w:rPr>
            </w:pPr>
            <w:r>
              <w:rPr>
                <w:rFonts w:eastAsia="Calibri" w:cs="Times New Roman" w:ascii="Times New Roman" w:hAnsi="Times New Roman"/>
                <w:bCs/>
                <w:i w:val="false"/>
                <w:iCs w:val="false"/>
                <w:kern w:val="0"/>
                <w:sz w:val="24"/>
                <w:szCs w:val="24"/>
                <w:lang w:val="ru-RU" w:eastAsia="en-US" w:bidi="ar-SA"/>
              </w:rPr>
              <w:t>Инвестиционные площадки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bCs/>
                <w:i w:val="false"/>
                <w:i w:val="false"/>
                <w:iCs w:val="false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Cs/>
                <w:i w:val="false"/>
                <w:iCs w:val="false"/>
                <w:sz w:val="24"/>
                <w:szCs w:val="24"/>
              </w:rPr>
            </w:r>
          </w:p>
        </w:tc>
        <w:tc>
          <w:tcPr>
            <w:tcW w:w="9578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iCs/>
                <w:kern w:val="0"/>
                <w:sz w:val="24"/>
                <w:szCs w:val="24"/>
                <w:lang w:val="ru-RU" w:eastAsia="en-US" w:bidi="ar-SA"/>
              </w:rPr>
              <w:t>3 инвестиционных площадки (1</w:t>
            </w:r>
            <w:bookmarkStart w:id="0" w:name="_GoBack"/>
            <w:bookmarkEnd w:id="0"/>
            <w:r>
              <w:rPr>
                <w:rFonts w:eastAsia="Calibri" w:cs="Times New Roman" w:ascii="Times New Roman" w:hAnsi="Times New Roman"/>
                <w:iCs/>
                <w:kern w:val="0"/>
                <w:sz w:val="24"/>
                <w:szCs w:val="24"/>
                <w:lang w:val="ru-RU" w:eastAsia="en-US" w:bidi="ar-SA"/>
              </w:rPr>
              <w:t xml:space="preserve"> браунфилд и 2 гринфилд) </w:t>
            </w:r>
            <w:hyperlink r:id="rId4">
              <w:r>
                <w:rPr>
                  <w:rStyle w:val="Hyperlink"/>
                  <w:rFonts w:eastAsia="Calibri" w:cs="Times New Roman" w:ascii="Times New Roman" w:hAnsi="Times New Roman"/>
                  <w:iCs/>
                  <w:kern w:val="0"/>
                  <w:sz w:val="24"/>
                  <w:szCs w:val="24"/>
                  <w:lang w:val="ru-RU" w:eastAsia="en-US" w:bidi="ar-SA"/>
                </w:rPr>
                <w:t>https://akgo74.ru/about/investoram/ploshchadki-dlya-realizatsii-investitsionnykh-proektov/index.php</w:t>
              </w:r>
            </w:hyperlink>
          </w:p>
        </w:tc>
      </w:tr>
      <w:tr>
        <w:trPr/>
        <w:tc>
          <w:tcPr>
            <w:tcW w:w="577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1.3</w:t>
            </w:r>
          </w:p>
        </w:tc>
        <w:tc>
          <w:tcPr>
            <w:tcW w:w="4582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i w:val="false"/>
                <w:i w:val="false"/>
                <w:iCs w:val="false"/>
              </w:rPr>
            </w:pPr>
            <w:r>
              <w:rPr>
                <w:rFonts w:eastAsia="Calibri" w:cs="Times New Roman" w:ascii="Times New Roman" w:hAnsi="Times New Roman"/>
                <w:bCs/>
                <w:i w:val="false"/>
                <w:iCs w:val="false"/>
                <w:kern w:val="0"/>
                <w:sz w:val="24"/>
                <w:szCs w:val="24"/>
                <w:lang w:val="ru-RU" w:eastAsia="en-US" w:bidi="ar-SA"/>
              </w:rPr>
              <w:t>Стратегия с разделом инвестиции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bCs/>
                <w:i w:val="false"/>
                <w:i w:val="false"/>
                <w:iCs w:val="false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Cs/>
                <w:i w:val="false"/>
                <w:iCs w:val="false"/>
                <w:sz w:val="24"/>
                <w:szCs w:val="24"/>
              </w:rPr>
            </w:r>
          </w:p>
        </w:tc>
        <w:tc>
          <w:tcPr>
            <w:tcW w:w="9578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iCs/>
                <w:kern w:val="0"/>
                <w:sz w:val="24"/>
                <w:szCs w:val="24"/>
                <w:lang w:val="ru-RU" w:eastAsia="en-US" w:bidi="ar-SA"/>
              </w:rPr>
              <w:t>Стратегия с разделом «Развитие экономики Копейского городского округа. Повышение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iCs/>
                <w:kern w:val="0"/>
                <w:sz w:val="24"/>
                <w:szCs w:val="24"/>
                <w:lang w:val="ru-RU" w:eastAsia="en-US" w:bidi="ar-SA"/>
              </w:rPr>
              <w:t>инвестиционной привлекательности города. Формирование цифровой инфраструктуры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iCs/>
                <w:kern w:val="0"/>
                <w:sz w:val="24"/>
                <w:szCs w:val="24"/>
                <w:lang w:val="ru-RU" w:eastAsia="en-US" w:bidi="ar-SA"/>
              </w:rPr>
              <w:t>экономики» размещена на сайте КГО в разделе «Стратегическое планирование» (</w:t>
            </w:r>
            <w:hyperlink r:id="rId5">
              <w:r>
                <w:rPr>
                  <w:rStyle w:val="Hyperlink"/>
                  <w:rFonts w:eastAsia="Calibri" w:cs="Times New Roman" w:ascii="Times New Roman" w:hAnsi="Times New Roman"/>
                  <w:iCs/>
                  <w:kern w:val="0"/>
                  <w:sz w:val="24"/>
                  <w:szCs w:val="24"/>
                  <w:lang w:val="ru-RU" w:eastAsia="en-US" w:bidi="ar-SA"/>
                </w:rPr>
                <w:t>https://akgo74.ru/about/strategicheskoe-planirovanie.php</w:t>
              </w:r>
            </w:hyperlink>
            <w:r>
              <w:rPr>
                <w:rFonts w:eastAsia="Calibri" w:cs="Times New Roman" w:ascii="Times New Roman" w:hAnsi="Times New Roman"/>
                <w:iCs/>
                <w:kern w:val="0"/>
                <w:sz w:val="24"/>
                <w:szCs w:val="24"/>
                <w:lang w:val="ru-RU" w:eastAsia="en-US" w:bidi="ar-SA"/>
              </w:rPr>
              <w:t>)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iCs/>
                <w:kern w:val="0"/>
                <w:sz w:val="24"/>
                <w:szCs w:val="24"/>
                <w:lang w:val="ru-RU" w:eastAsia="en-US" w:bidi="ar-SA"/>
              </w:rPr>
              <w:t>и в разделе «Инвесторам» - «Социально-экономическое развитие КГО» (</w:t>
            </w:r>
            <w:hyperlink r:id="rId6">
              <w:r>
                <w:rPr>
                  <w:rStyle w:val="Hyperlink"/>
                  <w:rFonts w:eastAsia="Calibri" w:cs="Times New Roman" w:ascii="Times New Roman" w:hAnsi="Times New Roman"/>
                  <w:iCs/>
                  <w:kern w:val="0"/>
                  <w:sz w:val="24"/>
                  <w:szCs w:val="24"/>
                  <w:lang w:val="ru-RU" w:eastAsia="en-US" w:bidi="ar-SA"/>
                </w:rPr>
                <w:t>https://akgo74.ru/about/sotsialno-ekonomicheskoe-razvitie-kopeyskogo-gorodskogo-okruga-chelyabinskoy-oblasti.php</w:t>
              </w:r>
            </w:hyperlink>
          </w:p>
        </w:tc>
      </w:tr>
      <w:tr>
        <w:trPr/>
        <w:tc>
          <w:tcPr>
            <w:tcW w:w="577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1.4</w:t>
            </w:r>
          </w:p>
        </w:tc>
        <w:tc>
          <w:tcPr>
            <w:tcW w:w="4582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i w:val="false"/>
                <w:i w:val="false"/>
                <w:iCs w:val="false"/>
              </w:rPr>
            </w:pPr>
            <w:r>
              <w:rPr>
                <w:rFonts w:eastAsia="Calibri" w:cs="Times New Roman" w:ascii="Times New Roman" w:hAnsi="Times New Roman"/>
                <w:bCs/>
                <w:i w:val="false"/>
                <w:iCs w:val="false"/>
                <w:kern w:val="0"/>
                <w:sz w:val="24"/>
                <w:szCs w:val="24"/>
                <w:lang w:val="ru-RU" w:eastAsia="en-US" w:bidi="ar-SA"/>
              </w:rPr>
              <w:t>Контактные данные</w:t>
            </w:r>
          </w:p>
        </w:tc>
        <w:tc>
          <w:tcPr>
            <w:tcW w:w="9578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iCs/>
                <w:kern w:val="0"/>
                <w:sz w:val="24"/>
                <w:szCs w:val="24"/>
                <w:lang w:val="ru-RU" w:eastAsia="en-US" w:bidi="ar-SA"/>
              </w:rPr>
              <w:t>По вопросам формирования и наполнения раздела «Инвесторам» – Воробьева Елена Анатольевна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iCs/>
                <w:kern w:val="0"/>
                <w:sz w:val="24"/>
                <w:szCs w:val="24"/>
                <w:lang w:val="ru-RU" w:eastAsia="en-US" w:bidi="ar-SA"/>
              </w:rPr>
              <w:t>8 (35139) 40-150</w:t>
            </w:r>
          </w:p>
        </w:tc>
      </w:tr>
      <w:tr>
        <w:trPr/>
        <w:tc>
          <w:tcPr>
            <w:tcW w:w="577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b w:val="false"/>
                <w:bCs w:val="false"/>
              </w:rPr>
            </w:pPr>
            <w:r>
              <w:rPr>
                <w:rFonts w:eastAsia="Calibri" w:cs="Times New Roman" w:ascii="Times New Roman" w:hAnsi="Times New Roman"/>
                <w:b w:val="false"/>
                <w:bCs w:val="false"/>
                <w:kern w:val="0"/>
                <w:sz w:val="24"/>
                <w:szCs w:val="24"/>
                <w:lang w:val="ru-RU" w:eastAsia="en-US" w:bidi="ar-SA"/>
              </w:rPr>
              <w:t>1.5</w:t>
            </w:r>
          </w:p>
        </w:tc>
        <w:tc>
          <w:tcPr>
            <w:tcW w:w="4582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i w:val="false"/>
                <w:i w:val="false"/>
                <w:iCs w:val="false"/>
              </w:rPr>
            </w:pPr>
            <w:r>
              <w:rPr>
                <w:rFonts w:eastAsia="Calibri" w:cs="Times New Roman" w:ascii="Times New Roman" w:hAnsi="Times New Roman"/>
                <w:b w:val="false"/>
                <w:bCs w:val="false"/>
                <w:i w:val="false"/>
                <w:iCs w:val="false"/>
                <w:kern w:val="0"/>
                <w:sz w:val="24"/>
                <w:szCs w:val="24"/>
                <w:lang w:val="ru-RU" w:eastAsia="en-US" w:bidi="ar-SA"/>
              </w:rPr>
              <w:t>Схема сопровождения инвесторов («одно окно»)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b w:val="false"/>
                <w:bCs w:val="false"/>
                <w:i w:val="false"/>
                <w:i w:val="false"/>
                <w:iCs w:val="false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 w:val="false"/>
                <w:bCs w:val="false"/>
                <w:i w:val="false"/>
                <w:iCs w:val="false"/>
                <w:sz w:val="24"/>
                <w:szCs w:val="24"/>
              </w:rPr>
            </w:r>
          </w:p>
        </w:tc>
        <w:tc>
          <w:tcPr>
            <w:tcW w:w="9578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iCs/>
                <w:kern w:val="0"/>
                <w:sz w:val="24"/>
                <w:szCs w:val="24"/>
                <w:lang w:val="ru-RU" w:eastAsia="en-US" w:bidi="ar-SA"/>
              </w:rPr>
              <w:t>Схема сопровождения инвесторов и сроки реализации процедур утверждены постановлением администрации КГО от 04.07.2016 № 1608-п «Об утверждении Порядка сопровождения инвестиционных проектов в КГО по принципу одного окна» (изменения от 30.09.2021 № 2320-п, от 17.06.2026 № 2086-п).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Style w:val="Hyperlink"/>
                <w:rFonts w:ascii="Times New Roman" w:hAnsi="Times New Roman" w:eastAsia="Calibri" w:cs="Times New Roman"/>
                <w:iCs/>
                <w:sz w:val="24"/>
                <w:szCs w:val="24"/>
              </w:rPr>
            </w:pPr>
            <w:hyperlink r:id="rId7">
              <w:r>
                <w:rPr>
                  <w:rStyle w:val="Hyperlink"/>
                  <w:rFonts w:eastAsia="Calibri" w:cs="Times New Roman" w:ascii="Times New Roman" w:hAnsi="Times New Roman"/>
                  <w:iCs/>
                  <w:kern w:val="0"/>
                  <w:sz w:val="24"/>
                  <w:szCs w:val="24"/>
                  <w:lang w:val="ru-RU" w:eastAsia="en-US" w:bidi="ar-SA"/>
                </w:rPr>
                <w:t>https://akgo74.ru/documents/postanovleniya/2021-god/09-sentyabr/1608-п%20от%2004.07.2016.pdf</w:t>
              </w:r>
            </w:hyperlink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Style w:val="Hyperlink"/>
                <w:rFonts w:eastAsia="Calibri" w:cs="Times New Roman" w:ascii="Times New Roman" w:hAnsi="Times New Roman"/>
                <w:iCs/>
                <w:kern w:val="0"/>
                <w:sz w:val="24"/>
                <w:szCs w:val="24"/>
                <w:lang w:val="ru-RU" w:eastAsia="en-US" w:bidi="ar-SA"/>
              </w:rPr>
              <w:t>https://akgo74.ru/about/investoram.php</w:t>
            </w:r>
          </w:p>
        </w:tc>
      </w:tr>
      <w:tr>
        <w:trPr/>
        <w:tc>
          <w:tcPr>
            <w:tcW w:w="577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1.6</w:t>
            </w:r>
          </w:p>
        </w:tc>
        <w:tc>
          <w:tcPr>
            <w:tcW w:w="4582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i w:val="false"/>
                <w:i w:val="false"/>
                <w:iCs w:val="false"/>
              </w:rPr>
            </w:pPr>
            <w:r>
              <w:rPr>
                <w:rFonts w:eastAsia="Calibri" w:cs="Times New Roman" w:ascii="Times New Roman" w:hAnsi="Times New Roman"/>
                <w:bCs/>
                <w:i w:val="false"/>
                <w:iCs w:val="false"/>
                <w:kern w:val="0"/>
                <w:sz w:val="24"/>
                <w:szCs w:val="24"/>
                <w:lang w:val="ru-RU" w:eastAsia="en-US" w:bidi="ar-SA"/>
              </w:rPr>
              <w:t>Государственная и муниципальная поддержка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bCs/>
                <w:i w:val="false"/>
                <w:i w:val="false"/>
                <w:iCs w:val="false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Cs/>
                <w:i w:val="false"/>
                <w:iCs w:val="false"/>
                <w:sz w:val="24"/>
                <w:szCs w:val="24"/>
              </w:rPr>
            </w:r>
          </w:p>
        </w:tc>
        <w:tc>
          <w:tcPr>
            <w:tcW w:w="9578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iCs/>
                <w:kern w:val="0"/>
                <w:sz w:val="24"/>
                <w:szCs w:val="24"/>
                <w:lang w:val="ru-RU" w:eastAsia="en-US" w:bidi="ar-SA"/>
              </w:rPr>
              <w:t>Информация размещена на сайте КГО в разделе «Инвесторам»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both"/>
              <w:rPr>
                <w:rFonts w:ascii="Times New Roman" w:hAnsi="Times New Roman" w:cs="Times New Roman"/>
                <w:iCs/>
                <w:color w:themeColor="background1" w:themeShade="a6" w:val="A6A6A6"/>
                <w:sz w:val="24"/>
                <w:szCs w:val="24"/>
              </w:rPr>
            </w:pPr>
            <w:hyperlink r:id="rId8">
              <w:r>
                <w:rPr>
                  <w:rStyle w:val="Hyperlink"/>
                  <w:rFonts w:eastAsia="Calibri" w:cs="Times New Roman" w:ascii="Times New Roman" w:hAnsi="Times New Roman"/>
                  <w:iCs/>
                  <w:kern w:val="0"/>
                  <w:sz w:val="24"/>
                  <w:szCs w:val="24"/>
                  <w:lang w:val="ru-RU" w:eastAsia="en-US" w:bidi="ar-SA"/>
                </w:rPr>
                <w:t>https://www.akgo74.ru/investoram/gosudarstvennaya-i-munitsipalnaya-podderzhka-investorov/index.php</w:t>
              </w:r>
            </w:hyperlink>
          </w:p>
        </w:tc>
      </w:tr>
      <w:tr>
        <w:trPr/>
        <w:tc>
          <w:tcPr>
            <w:tcW w:w="577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1.7</w:t>
            </w:r>
          </w:p>
        </w:tc>
        <w:tc>
          <w:tcPr>
            <w:tcW w:w="4582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i w:val="false"/>
                <w:i w:val="false"/>
                <w:iCs w:val="false"/>
              </w:rPr>
            </w:pPr>
            <w:r>
              <w:rPr>
                <w:rFonts w:eastAsia="Calibri" w:cs="Times New Roman" w:ascii="Times New Roman" w:hAnsi="Times New Roman"/>
                <w:b/>
                <w:bCs/>
                <w:i w:val="false"/>
                <w:iCs w:val="false"/>
                <w:kern w:val="0"/>
                <w:sz w:val="24"/>
                <w:szCs w:val="24"/>
                <w:lang w:val="ru-RU" w:eastAsia="en-US" w:bidi="ar-SA"/>
              </w:rPr>
              <w:t>Инвестиционные ниши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b/>
                <w:bCs/>
                <w:i w:val="false"/>
                <w:i w:val="false"/>
                <w:iCs w:val="false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bCs/>
                <w:i w:val="false"/>
                <w:iCs w:val="false"/>
                <w:sz w:val="24"/>
                <w:szCs w:val="24"/>
              </w:rPr>
            </w:r>
          </w:p>
        </w:tc>
        <w:tc>
          <w:tcPr>
            <w:tcW w:w="9578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iCs/>
                <w:kern w:val="0"/>
                <w:sz w:val="24"/>
                <w:szCs w:val="24"/>
                <w:lang w:val="ru-RU" w:eastAsia="en-US" w:bidi="ar-SA"/>
              </w:rPr>
              <w:t>Инвестиционные предложения</w:t>
            </w:r>
            <w:r>
              <w:rPr>
                <w:rFonts w:eastAsia="Calibri" w:cs="Times New Roman" w:ascii="Times New Roman" w:hAnsi="Times New Roman"/>
                <w:b/>
                <w:bCs/>
                <w:iCs/>
                <w:kern w:val="0"/>
                <w:sz w:val="24"/>
                <w:szCs w:val="24"/>
                <w:lang w:val="ru-RU" w:eastAsia="en-US" w:bidi="ar-SA"/>
              </w:rPr>
              <w:t xml:space="preserve"> </w:t>
            </w:r>
            <w:r>
              <w:rPr>
                <w:rFonts w:eastAsia="Calibri" w:cs="Times New Roman" w:ascii="Times New Roman" w:hAnsi="Times New Roman"/>
                <w:iCs/>
                <w:kern w:val="0"/>
                <w:sz w:val="24"/>
                <w:szCs w:val="24"/>
                <w:lang w:val="ru-RU" w:eastAsia="en-US" w:bidi="ar-SA"/>
              </w:rPr>
              <w:t>размещены на сайте КГО в разделе «Инвесторам»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hyperlink r:id="rId9">
              <w:r>
                <w:rPr>
                  <w:rStyle w:val="Hyperlink"/>
                  <w:rFonts w:eastAsia="Calibri" w:cs="Times New Roman" w:ascii="Times New Roman" w:hAnsi="Times New Roman"/>
                  <w:iCs/>
                  <w:kern w:val="0"/>
                  <w:sz w:val="24"/>
                  <w:szCs w:val="24"/>
                  <w:lang w:val="ru-RU" w:eastAsia="en-US" w:bidi="ar-SA"/>
                </w:rPr>
                <w:t>https://akgo74.ru/about/investoram/predlozheniya-dlya-investorov-po-stroitelstvu-mnogofunktsionalnogo-pridorozhnogo-kompleksa/index.php</w:t>
              </w:r>
            </w:hyperlink>
          </w:p>
        </w:tc>
      </w:tr>
      <w:tr>
        <w:trPr/>
        <w:tc>
          <w:tcPr>
            <w:tcW w:w="577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Calibri" w:hAnsi="Calibri" w:eastAsia="Calibri" w:cs=""/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2</w:t>
            </w:r>
          </w:p>
        </w:tc>
        <w:tc>
          <w:tcPr>
            <w:tcW w:w="4582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both"/>
              <w:rPr>
                <w:rFonts w:ascii="Calibri" w:hAnsi="Calibri" w:eastAsia="Calibri" w:cs=""/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Наличие инвестиционного профиля муниципального образования</w:t>
            </w:r>
          </w:p>
        </w:tc>
        <w:tc>
          <w:tcPr>
            <w:tcW w:w="9578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iCs/>
                <w:kern w:val="0"/>
                <w:sz w:val="24"/>
                <w:szCs w:val="24"/>
                <w:lang w:val="ru-RU" w:eastAsia="en-US" w:bidi="ar-SA"/>
              </w:rPr>
              <w:t xml:space="preserve">Инвестиционный профиль размещен на сайте КГО в разделе «Инвесторам» </w:t>
            </w:r>
            <w:hyperlink r:id="rId10">
              <w:r>
                <w:rPr>
                  <w:rStyle w:val="Hyperlink"/>
                  <w:rFonts w:eastAsia="Calibri" w:cs="Times New Roman" w:ascii="Times New Roman" w:hAnsi="Times New Roman"/>
                  <w:iCs/>
                  <w:kern w:val="0"/>
                  <w:sz w:val="24"/>
                  <w:szCs w:val="24"/>
                  <w:lang w:val="ru-RU" w:eastAsia="en-US" w:bidi="ar-SA"/>
                </w:rPr>
                <w:t>https://www.akgo74.ru/about/investoram.php</w:t>
              </w:r>
            </w:hyperlink>
          </w:p>
        </w:tc>
      </w:tr>
      <w:tr>
        <w:trPr/>
        <w:tc>
          <w:tcPr>
            <w:tcW w:w="577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bCs/>
                <w:sz w:val="24"/>
                <w:szCs w:val="24"/>
              </w:rPr>
            </w:r>
          </w:p>
        </w:tc>
        <w:tc>
          <w:tcPr>
            <w:tcW w:w="4582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both"/>
              <w:rPr>
                <w:i w:val="false"/>
                <w:i w:val="false"/>
                <w:iCs w:val="false"/>
              </w:rPr>
            </w:pPr>
            <w:r>
              <w:rPr>
                <w:rFonts w:eastAsia="Calibri" w:cs="Times New Roman" w:ascii="Times New Roman" w:hAnsi="Times New Roman"/>
                <w:bCs/>
                <w:i w:val="false"/>
                <w:iCs w:val="false"/>
                <w:kern w:val="0"/>
                <w:sz w:val="24"/>
                <w:szCs w:val="24"/>
                <w:lang w:val="ru-RU" w:eastAsia="en-US" w:bidi="ar-SA"/>
              </w:rPr>
              <w:t>Содержание инвестиционного профиля: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both"/>
              <w:rPr>
                <w:i w:val="false"/>
                <w:i w:val="false"/>
                <w:iCs w:val="false"/>
              </w:rPr>
            </w:pPr>
            <w:r>
              <w:rPr>
                <w:rFonts w:eastAsia="Calibri" w:cs="Times New Roman" w:ascii="Times New Roman" w:hAnsi="Times New Roman"/>
                <w:bCs/>
                <w:i w:val="false"/>
                <w:iCs w:val="false"/>
                <w:kern w:val="0"/>
                <w:sz w:val="24"/>
                <w:szCs w:val="24"/>
                <w:lang w:val="ru-RU" w:eastAsia="en-US" w:bidi="ar-SA"/>
              </w:rPr>
              <w:t>Общие социально-экономические показатели МО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both"/>
              <w:rPr>
                <w:i w:val="false"/>
                <w:i w:val="false"/>
                <w:iCs w:val="false"/>
              </w:rPr>
            </w:pPr>
            <w:r>
              <w:rPr>
                <w:rFonts w:eastAsia="Calibri" w:cs="Times New Roman" w:ascii="Times New Roman" w:hAnsi="Times New Roman"/>
                <w:bCs/>
                <w:i w:val="false"/>
                <w:iCs w:val="false"/>
                <w:kern w:val="0"/>
                <w:sz w:val="24"/>
                <w:szCs w:val="24"/>
                <w:lang w:val="ru-RU" w:eastAsia="en-US" w:bidi="ar-SA"/>
              </w:rPr>
              <w:t>Информация о доступной инфраструктуре, включая её состояние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both"/>
              <w:rPr>
                <w:i w:val="false"/>
                <w:i w:val="false"/>
                <w:iCs w:val="false"/>
              </w:rPr>
            </w:pPr>
            <w:r>
              <w:rPr>
                <w:rFonts w:eastAsia="Calibri" w:cs="Times New Roman" w:ascii="Times New Roman" w:hAnsi="Times New Roman"/>
                <w:bCs/>
                <w:i w:val="false"/>
                <w:iCs w:val="false"/>
                <w:kern w:val="0"/>
                <w:sz w:val="24"/>
                <w:szCs w:val="24"/>
                <w:lang w:val="ru-RU" w:eastAsia="en-US" w:bidi="ar-SA"/>
              </w:rPr>
              <w:t>Информация о ключевых инвестиционных проектах с их краткой характеристикой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both"/>
              <w:rPr>
                <w:i w:val="false"/>
                <w:i w:val="false"/>
                <w:iCs w:val="false"/>
              </w:rPr>
            </w:pPr>
            <w:r>
              <w:rPr>
                <w:rFonts w:eastAsia="Calibri" w:cs="Times New Roman" w:ascii="Times New Roman" w:hAnsi="Times New Roman"/>
                <w:bCs/>
                <w:i w:val="false"/>
                <w:iCs w:val="false"/>
                <w:kern w:val="0"/>
                <w:sz w:val="24"/>
                <w:szCs w:val="24"/>
                <w:lang w:val="ru-RU" w:eastAsia="en-US" w:bidi="ar-SA"/>
              </w:rPr>
              <w:t>Информация о приоритетных инвестиционных нишах МО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both"/>
              <w:rPr>
                <w:i w:val="false"/>
                <w:i w:val="false"/>
                <w:iCs w:val="false"/>
              </w:rPr>
            </w:pPr>
            <w:r>
              <w:rPr>
                <w:rFonts w:eastAsia="Calibri" w:cs="Times New Roman" w:ascii="Times New Roman" w:hAnsi="Times New Roman"/>
                <w:bCs/>
                <w:i w:val="false"/>
                <w:iCs w:val="false"/>
                <w:kern w:val="0"/>
                <w:sz w:val="24"/>
                <w:szCs w:val="24"/>
                <w:lang w:val="ru-RU" w:eastAsia="en-US" w:bidi="ar-SA"/>
              </w:rPr>
              <w:t>Сведения о свободных земельных и промышленных площадках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both"/>
              <w:rPr>
                <w:i w:val="false"/>
                <w:i w:val="false"/>
                <w:iCs w:val="false"/>
              </w:rPr>
            </w:pPr>
            <w:r>
              <w:rPr>
                <w:rFonts w:eastAsia="Calibri" w:cs="Times New Roman" w:ascii="Times New Roman" w:hAnsi="Times New Roman"/>
                <w:bCs/>
                <w:i w:val="false"/>
                <w:iCs w:val="false"/>
                <w:kern w:val="0"/>
                <w:sz w:val="24"/>
                <w:szCs w:val="24"/>
                <w:lang w:val="ru-RU" w:eastAsia="en-US" w:bidi="ar-SA"/>
              </w:rPr>
              <w:t>Меры поддержки и особые инвестиционные (правовые) режимы на территории МО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both"/>
              <w:rPr>
                <w:i w:val="false"/>
                <w:i w:val="false"/>
                <w:iCs w:val="false"/>
              </w:rPr>
            </w:pPr>
            <w:r>
              <w:rPr>
                <w:rFonts w:eastAsia="Calibri" w:cs="Times New Roman" w:ascii="Times New Roman" w:hAnsi="Times New Roman"/>
                <w:bCs/>
                <w:i w:val="false"/>
                <w:iCs w:val="false"/>
                <w:kern w:val="0"/>
                <w:sz w:val="24"/>
                <w:szCs w:val="24"/>
                <w:lang w:val="ru-RU" w:eastAsia="en-US" w:bidi="ar-SA"/>
              </w:rPr>
              <w:t>Преимущества и возможности МО по сравнению с другими МО региона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both"/>
              <w:rPr>
                <w:i w:val="false"/>
                <w:i w:val="false"/>
                <w:iCs w:val="false"/>
              </w:rPr>
            </w:pPr>
            <w:r>
              <w:rPr>
                <w:rFonts w:eastAsia="Calibri" w:cs="Times New Roman" w:ascii="Times New Roman" w:hAnsi="Times New Roman"/>
                <w:bCs/>
                <w:i w:val="false"/>
                <w:iCs w:val="false"/>
                <w:kern w:val="0"/>
                <w:sz w:val="24"/>
                <w:szCs w:val="24"/>
                <w:lang w:val="ru-RU" w:eastAsia="en-US" w:bidi="ar-SA"/>
              </w:rPr>
              <w:t>Контактная информация (сведения об ответственных должностных лицах)</w:t>
            </w:r>
          </w:p>
        </w:tc>
        <w:tc>
          <w:tcPr>
            <w:tcW w:w="9578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both"/>
              <w:rPr>
                <w:rFonts w:ascii="Times New Roman" w:hAnsi="Times New Roman" w:cs="Times New Roman"/>
                <w:iCs/>
                <w:color w:themeColor="background1" w:themeShade="a6" w:val="A6A6A6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iCs/>
                <w:kern w:val="0"/>
                <w:sz w:val="24"/>
                <w:szCs w:val="24"/>
                <w:lang w:val="ru-RU" w:eastAsia="en-US" w:bidi="ar-SA"/>
              </w:rPr>
              <w:t>Указанная информация размещена в инвестиционном потенциале КГО: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bCs/>
                <w:iCs/>
                <w:kern w:val="0"/>
                <w:sz w:val="24"/>
                <w:szCs w:val="24"/>
                <w:lang w:val="ru-RU" w:eastAsia="en-US" w:bidi="ar-SA"/>
              </w:rPr>
              <w:t>- Общие социально-экономические показатели;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bCs/>
                <w:iCs/>
                <w:kern w:val="0"/>
                <w:sz w:val="24"/>
                <w:szCs w:val="24"/>
                <w:lang w:val="ru-RU" w:eastAsia="en-US" w:bidi="ar-SA"/>
              </w:rPr>
              <w:t>- Информация о доступной инфраструктуре, включая её состояние;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bCs/>
                <w:iCs/>
                <w:kern w:val="0"/>
                <w:sz w:val="24"/>
                <w:szCs w:val="24"/>
                <w:lang w:val="ru-RU" w:eastAsia="en-US" w:bidi="ar-SA"/>
              </w:rPr>
              <w:t>- Сведения о свободных промышленных площадках;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bCs/>
                <w:iCs/>
                <w:kern w:val="0"/>
                <w:sz w:val="24"/>
                <w:szCs w:val="24"/>
                <w:lang w:val="ru-RU" w:eastAsia="en-US" w:bidi="ar-SA"/>
              </w:rPr>
              <w:t>- Информация о приоритетных инвестиционных нишах</w:t>
            </w:r>
            <w:r>
              <w:rPr>
                <w:rFonts w:eastAsia="Calibri" w:cs="Times New Roman" w:ascii="Times New Roman" w:hAnsi="Times New Roman"/>
                <w:bCs/>
                <w:i/>
                <w:iCs/>
                <w:kern w:val="0"/>
                <w:sz w:val="24"/>
                <w:szCs w:val="24"/>
                <w:lang w:val="ru-RU" w:eastAsia="en-US" w:bidi="ar-SA"/>
              </w:rPr>
              <w:t>;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bCs/>
                <w:iCs/>
                <w:kern w:val="0"/>
                <w:sz w:val="24"/>
                <w:szCs w:val="24"/>
                <w:lang w:val="ru-RU" w:eastAsia="en-US" w:bidi="ar-SA"/>
              </w:rPr>
              <w:t>- Преимущества и возможности КГО по сравнению с другими МО региона;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bCs/>
                <w:iCs/>
                <w:kern w:val="0"/>
                <w:sz w:val="24"/>
                <w:szCs w:val="24"/>
                <w:lang w:val="ru-RU" w:eastAsia="en-US" w:bidi="ar-SA"/>
              </w:rPr>
              <w:t>- Контактная информация (сведения об ответственных должностных лицах).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Cs/>
                <w:iCs/>
                <w:sz w:val="24"/>
                <w:szCs w:val="24"/>
              </w:rPr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bCs/>
                <w:iCs/>
                <w:kern w:val="0"/>
                <w:sz w:val="24"/>
                <w:szCs w:val="24"/>
                <w:lang w:val="ru-RU" w:eastAsia="en-US" w:bidi="ar-SA"/>
              </w:rPr>
              <w:t>Инвестиционный профиль размещен на официальном сайте администрации КГО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both"/>
              <w:rPr>
                <w:rFonts w:ascii="Times New Roman" w:hAnsi="Times New Roman" w:cs="Times New Roman"/>
                <w:iCs/>
                <w:color w:themeColor="background1" w:themeShade="a6" w:val="A6A6A6"/>
                <w:sz w:val="24"/>
                <w:szCs w:val="24"/>
              </w:rPr>
            </w:pPr>
            <w:hyperlink r:id="rId11">
              <w:r>
                <w:rPr>
                  <w:rStyle w:val="Hyperlink"/>
                  <w:rFonts w:eastAsia="Calibri" w:cs="Times New Roman" w:ascii="Times New Roman" w:hAnsi="Times New Roman"/>
                  <w:bCs/>
                  <w:iCs/>
                  <w:kern w:val="0"/>
                  <w:sz w:val="24"/>
                  <w:szCs w:val="24"/>
                  <w:lang w:val="ru-RU" w:eastAsia="en-US" w:bidi="ar-SA"/>
                </w:rPr>
                <w:t>https://www.akgo74.ru/about/investoram.php</w:t>
              </w:r>
            </w:hyperlink>
          </w:p>
        </w:tc>
      </w:tr>
      <w:tr>
        <w:trPr/>
        <w:tc>
          <w:tcPr>
            <w:tcW w:w="577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Calibri" w:hAnsi="Calibri" w:eastAsia="Calibri" w:cs=""/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3</w:t>
            </w:r>
          </w:p>
        </w:tc>
        <w:tc>
          <w:tcPr>
            <w:tcW w:w="4582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b w:val="false"/>
                <w:bCs w:val="false"/>
              </w:rPr>
            </w:pPr>
            <w:r>
              <w:rPr>
                <w:rFonts w:eastAsia="Calibri" w:cs="Times New Roman" w:ascii="Times New Roman" w:hAnsi="Times New Roman"/>
                <w:b w:val="false"/>
                <w:bCs w:val="false"/>
                <w:kern w:val="0"/>
                <w:sz w:val="24"/>
                <w:szCs w:val="24"/>
                <w:lang w:val="ru-RU" w:eastAsia="en-US" w:bidi="ar-SA"/>
              </w:rPr>
              <w:t>Наличие инвестиционного уполномоченного в должности не ниже заместителя главы местной администрации</w:t>
            </w:r>
          </w:p>
        </w:tc>
        <w:tc>
          <w:tcPr>
            <w:tcW w:w="9578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iCs/>
                <w:kern w:val="0"/>
                <w:sz w:val="24"/>
                <w:szCs w:val="24"/>
                <w:lang w:val="ru-RU" w:eastAsia="en-US" w:bidi="ar-SA"/>
              </w:rPr>
              <w:t>Постановлением администрации Копейского городского округа от 16.10.2023 № 3395-п (с изменениями от 15.05.2024 № 1261-п, от 17.06.2026 № 2087-п)  инвестиционным уполномоченным назначена Пескова Ольга Михайловна – заместитель Главы Копейского городского округа по финансам и экономике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hyperlink r:id="rId12">
              <w:r>
                <w:rPr>
                  <w:rStyle w:val="Hyperlink"/>
                  <w:rFonts w:eastAsia="Calibri" w:cs="Times New Roman" w:ascii="Times New Roman" w:hAnsi="Times New Roman"/>
                  <w:iCs/>
                  <w:kern w:val="0"/>
                  <w:sz w:val="24"/>
                  <w:szCs w:val="24"/>
                  <w:lang w:val="ru-RU" w:eastAsia="en-US" w:bidi="ar-SA"/>
                </w:rPr>
                <w:t>https://akgo74.ru/documents/postanovleniya/2023-god/oktyabr/3395-%D0%BF%20%D0%BE%D1%82%2016.10.2023.pdf</w:t>
              </w:r>
            </w:hyperlink>
          </w:p>
        </w:tc>
      </w:tr>
      <w:tr>
        <w:trPr/>
        <w:tc>
          <w:tcPr>
            <w:tcW w:w="577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bCs/>
                <w:sz w:val="24"/>
                <w:szCs w:val="24"/>
              </w:rPr>
            </w:r>
          </w:p>
        </w:tc>
        <w:tc>
          <w:tcPr>
            <w:tcW w:w="4582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both"/>
              <w:rPr>
                <w:i w:val="false"/>
                <w:i w:val="false"/>
                <w:iCs w:val="false"/>
              </w:rPr>
            </w:pPr>
            <w:r>
              <w:rPr>
                <w:rFonts w:eastAsia="Calibri" w:cs="Times New Roman" w:ascii="Times New Roman" w:hAnsi="Times New Roman"/>
                <w:bCs/>
                <w:i w:val="false"/>
                <w:iCs w:val="false"/>
                <w:kern w:val="0"/>
                <w:sz w:val="24"/>
                <w:szCs w:val="24"/>
                <w:lang w:val="ru-RU" w:eastAsia="en-US" w:bidi="ar-SA"/>
              </w:rPr>
              <w:t>СТРУКТУРНОЕ ПОДРАЗДЕЛЕНИЕ, основными обязанностями которых является оказание содействия в реализации инвестиционных проектов на территории МО и привлечение новых инвесторов</w:t>
            </w:r>
          </w:p>
        </w:tc>
        <w:tc>
          <w:tcPr>
            <w:tcW w:w="9578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iCs/>
                <w:kern w:val="0"/>
                <w:sz w:val="24"/>
                <w:szCs w:val="24"/>
                <w:lang w:val="ru-RU" w:eastAsia="en-US" w:bidi="ar-SA"/>
              </w:rPr>
              <w:t>Управление экономического развития администрации КГО</w:t>
            </w:r>
          </w:p>
        </w:tc>
      </w:tr>
      <w:tr>
        <w:trPr/>
        <w:tc>
          <w:tcPr>
            <w:tcW w:w="577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Calibri" w:hAnsi="Calibri" w:eastAsia="Calibri" w:cs=""/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4</w:t>
            </w:r>
          </w:p>
        </w:tc>
        <w:tc>
          <w:tcPr>
            <w:tcW w:w="4582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Calibri" w:hAnsi="Calibri" w:eastAsia="Calibri" w:cs=""/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Наличие совещательного органа при главе местной администрации</w:t>
            </w:r>
          </w:p>
        </w:tc>
        <w:tc>
          <w:tcPr>
            <w:tcW w:w="9578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 xml:space="preserve">Общественный координационный Совет по развитию малого и среднего предпринимательства и улучшению инвестиционного климата в Копейском городском округе Челябинской области (далее – ОКС) утвержден постановлением администрации КГО от 24.09.2025 № 3808-п и размещен на официальном сайте КГО </w:t>
            </w:r>
            <w:hyperlink r:id="rId13">
              <w:r>
                <w:rPr>
                  <w:rStyle w:val="Hyperlink"/>
                  <w:rFonts w:eastAsia="Calibri" w:cs="Times New Roman" w:ascii="Times New Roman" w:hAnsi="Times New Roman"/>
                  <w:kern w:val="0"/>
                  <w:sz w:val="24"/>
                  <w:szCs w:val="24"/>
                  <w:lang w:val="ru-RU" w:eastAsia="en-US" w:bidi="ar-SA"/>
                </w:rPr>
                <w:t>https://akgo74.ru/about/obshchestvennyy-koordinatsionnyy-sovet-po-razvitiyu-malogo-i-srednego-predprinimatelstva.php</w:t>
              </w:r>
            </w:hyperlink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iCs/>
                <w:kern w:val="0"/>
                <w:sz w:val="24"/>
                <w:szCs w:val="24"/>
                <w:lang w:val="ru-RU" w:eastAsia="en-US" w:bidi="ar-SA"/>
              </w:rPr>
              <w:t>В составе ОКСа: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iCs/>
                <w:kern w:val="0"/>
                <w:sz w:val="24"/>
                <w:szCs w:val="24"/>
                <w:lang w:val="ru-RU" w:eastAsia="en-US" w:bidi="ar-SA"/>
              </w:rPr>
              <w:t>- Глава КГО;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iCs/>
                <w:kern w:val="0"/>
                <w:sz w:val="24"/>
                <w:szCs w:val="24"/>
                <w:lang w:val="ru-RU" w:eastAsia="en-US" w:bidi="ar-SA"/>
              </w:rPr>
              <w:t>- инвестиционный уполномоченный и специалисты структурных подразделений;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iCs/>
                <w:kern w:val="0"/>
                <w:sz w:val="24"/>
                <w:szCs w:val="24"/>
                <w:lang w:val="ru-RU" w:eastAsia="en-US" w:bidi="ar-SA"/>
              </w:rPr>
              <w:t>- сотрудники местной администрации, участвующие в реализации инвестиционных проектов;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iCs/>
                <w:kern w:val="0"/>
                <w:sz w:val="24"/>
                <w:szCs w:val="24"/>
                <w:lang w:val="ru-RU" w:eastAsia="en-US" w:bidi="ar-SA"/>
              </w:rPr>
              <w:t>- Общественный представитель Уполномоченного по защите прав предпринимателей Челябинской области в городе Копейске;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iCs/>
                <w:kern w:val="0"/>
                <w:sz w:val="24"/>
                <w:szCs w:val="24"/>
                <w:lang w:val="ru-RU" w:eastAsia="en-US" w:bidi="ar-SA"/>
              </w:rPr>
              <w:t>- индивидуальные предприниматели;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iCs/>
                <w:kern w:val="0"/>
                <w:sz w:val="24"/>
                <w:szCs w:val="24"/>
                <w:lang w:val="ru-RU" w:eastAsia="en-US" w:bidi="ar-SA"/>
              </w:rPr>
              <w:t>- руководители и директора коммерческих организаций; представители Инвестблока «Мой бизнес»;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iCs/>
                <w:kern w:val="0"/>
                <w:sz w:val="24"/>
                <w:szCs w:val="24"/>
                <w:lang w:val="ru-RU" w:eastAsia="en-US" w:bidi="ar-SA"/>
              </w:rPr>
              <w:t>- представители ресурсоснабжающих организаций;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iCs/>
                <w:kern w:val="0"/>
                <w:sz w:val="24"/>
                <w:szCs w:val="24"/>
                <w:lang w:val="ru-RU" w:eastAsia="en-US" w:bidi="ar-SA"/>
              </w:rPr>
              <w:t xml:space="preserve">Решения ОКСа закрепляются протоколами и размещаются на сайте КГО </w:t>
            </w:r>
            <w:hyperlink r:id="rId14">
              <w:r>
                <w:rPr>
                  <w:rStyle w:val="Hyperlink"/>
                  <w:rFonts w:eastAsia="Calibri" w:cs="Times New Roman" w:ascii="Times New Roman" w:hAnsi="Times New Roman"/>
                  <w:iCs/>
                  <w:kern w:val="0"/>
                  <w:sz w:val="24"/>
                  <w:szCs w:val="24"/>
                  <w:lang w:val="ru-RU" w:eastAsia="en-US" w:bidi="ar-SA"/>
                </w:rPr>
                <w:t>https://akgo74.ru/about/zasedaniya-obshchestvennogo-koordinatsionnogo-soveta.php</w:t>
              </w:r>
            </w:hyperlink>
          </w:p>
        </w:tc>
      </w:tr>
      <w:tr>
        <w:trPr>
          <w:trHeight w:val="843" w:hRule="atLeast"/>
        </w:trPr>
        <w:tc>
          <w:tcPr>
            <w:tcW w:w="577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Calibri" w:hAnsi="Calibri" w:eastAsia="Calibri" w:cs=""/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5</w:t>
            </w:r>
          </w:p>
        </w:tc>
        <w:tc>
          <w:tcPr>
            <w:tcW w:w="4582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Calibri" w:hAnsi="Calibri" w:eastAsia="Calibri" w:cs=""/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Наличие раздела с информацией о реализации инвестиционных проектов на территории муниципального образования в документе стратегического планирования. Учитываются проекты только с частными инвестициями, государственные и бюджетные средства не учитываются.</w:t>
            </w:r>
          </w:p>
        </w:tc>
        <w:tc>
          <w:tcPr>
            <w:tcW w:w="9578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 xml:space="preserve">Информация о реализации инвестиционных проектов на территории муниципального образования размещена на сайте КГО в разделе «Инвесторам» </w:t>
            </w:r>
            <w:hyperlink r:id="rId15">
              <w:r>
                <w:rPr>
                  <w:rStyle w:val="Hyperlink"/>
                  <w:rFonts w:eastAsia="Calibri" w:cs="Times New Roman" w:ascii="Times New Roman" w:hAnsi="Times New Roman"/>
                  <w:kern w:val="0"/>
                  <w:sz w:val="24"/>
                  <w:szCs w:val="24"/>
                  <w:lang w:val="ru-RU" w:eastAsia="en-US" w:bidi="ar-SA"/>
                </w:rPr>
                <w:t>https://akgo74.ru/about/investitsionnye-proekty.php</w:t>
              </w:r>
            </w:hyperlink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i/>
                <w:i/>
                <w:iCs/>
                <w:color w:themeColor="background1" w:themeShade="a6" w:val="A6A6A6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i/>
                <w:iCs/>
                <w:color w:themeColor="background1" w:themeShade="a6" w:val="A6A6A6"/>
                <w:sz w:val="24"/>
                <w:szCs w:val="24"/>
              </w:rPr>
            </w:r>
          </w:p>
        </w:tc>
      </w:tr>
      <w:tr>
        <w:trPr/>
        <w:tc>
          <w:tcPr>
            <w:tcW w:w="577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Calibri" w:hAnsi="Calibri" w:eastAsia="Calibri" w:cs=""/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6</w:t>
            </w:r>
          </w:p>
        </w:tc>
        <w:tc>
          <w:tcPr>
            <w:tcW w:w="4582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b w:val="false"/>
                <w:bCs w:val="false"/>
              </w:rPr>
            </w:pPr>
            <w:r>
              <w:rPr>
                <w:rFonts w:eastAsia="Calibri" w:cs="Times New Roman" w:ascii="Times New Roman" w:hAnsi="Times New Roman"/>
                <w:b w:val="false"/>
                <w:bCs w:val="false"/>
                <w:kern w:val="0"/>
                <w:sz w:val="24"/>
                <w:szCs w:val="24"/>
                <w:lang w:val="ru-RU" w:eastAsia="en-US" w:bidi="ar-SA"/>
              </w:rPr>
              <w:t>Наличие регламента сопровождения инвестиционных проектов, разъясняющего схему взаимодействия инвестора с органами местного самоуправления муниципального образования</w:t>
            </w:r>
          </w:p>
        </w:tc>
        <w:tc>
          <w:tcPr>
            <w:tcW w:w="9578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Порядок сопровождения инвестиционных проектов в Копейском городском округе по принципу «одного окна»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 xml:space="preserve">(постановление администрации Копейского городского округа от 04.07.2016 № 1608-п (изменения от 30.09.2021 № 2320-п, от 17.06.2026 № 2086-п).) </w:t>
            </w:r>
            <w:r>
              <w:rPr>
                <w:rStyle w:val="Hyperlink"/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https://akgo74.ru/about/normativno-pravovaya-baza.php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6">
              <w:r>
                <w:rPr>
                  <w:rStyle w:val="Hyperlink"/>
                  <w:rFonts w:eastAsia="Calibri" w:cs="Times New Roman" w:ascii="Times New Roman" w:hAnsi="Times New Roman"/>
                  <w:kern w:val="0"/>
                  <w:sz w:val="24"/>
                  <w:szCs w:val="24"/>
                  <w:lang w:val="ru-RU" w:eastAsia="en-US" w:bidi="ar-SA"/>
                </w:rPr>
                <w:t>https://www.akgo74.ru/investoram/skhema-vzaimodeystviya-s-omsu/index.php</w:t>
              </w:r>
            </w:hyperlink>
          </w:p>
        </w:tc>
      </w:tr>
      <w:tr>
        <w:trPr/>
        <w:tc>
          <w:tcPr>
            <w:tcW w:w="577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Calibri" w:hAnsi="Calibri" w:eastAsia="Calibri" w:cs=""/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7</w:t>
            </w:r>
          </w:p>
        </w:tc>
        <w:tc>
          <w:tcPr>
            <w:tcW w:w="4582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b w:val="false"/>
                <w:bCs w:val="false"/>
              </w:rPr>
            </w:pPr>
            <w:r>
              <w:rPr>
                <w:rFonts w:eastAsia="Calibri" w:cs="Times New Roman" w:ascii="Times New Roman" w:hAnsi="Times New Roman"/>
                <w:b w:val="false"/>
                <w:bCs w:val="false"/>
                <w:kern w:val="0"/>
                <w:sz w:val="24"/>
                <w:szCs w:val="24"/>
                <w:lang w:val="ru-RU" w:eastAsia="en-US" w:bidi="ar-SA"/>
              </w:rPr>
              <w:t>Наличие утвержденных показателей эффективности деятельности главы местной администрации и инвестиционного уполномоченного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Calibri" w:cs="Times New Roman"/>
                <w:b w:val="false"/>
                <w:bCs w:val="false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b w:val="false"/>
                <w:bCs w:val="false"/>
                <w:sz w:val="24"/>
                <w:szCs w:val="24"/>
              </w:rPr>
            </w:r>
          </w:p>
        </w:tc>
        <w:tc>
          <w:tcPr>
            <w:tcW w:w="9578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iCs/>
                <w:kern w:val="0"/>
                <w:sz w:val="24"/>
                <w:szCs w:val="24"/>
                <w:lang w:val="ru-RU" w:eastAsia="en-US" w:bidi="ar-SA"/>
              </w:rPr>
              <w:t>Постановление администрации Копейского городского округа от 16.10.2023 № 3395-п (в редакции от 15.05.2024 № 1261-п, от 17.06.2026 № 2087-п)</w:t>
            </w:r>
            <w:r>
              <w:rPr>
                <w:rFonts w:eastAsia="Calibri" w:cs=""/>
                <w:kern w:val="0"/>
                <w:sz w:val="22"/>
                <w:szCs w:val="22"/>
                <w:lang w:val="ru-RU" w:eastAsia="en-US" w:bidi="ar-SA"/>
              </w:rPr>
              <w:t xml:space="preserve"> </w:t>
            </w:r>
            <w:hyperlink r:id="rId17">
              <w:r>
                <w:rPr>
                  <w:rStyle w:val="Hyperlink"/>
                  <w:rFonts w:eastAsia="Calibri" w:cs="Times New Roman" w:ascii="Times New Roman" w:hAnsi="Times New Roman"/>
                  <w:iCs/>
                  <w:kern w:val="0"/>
                  <w:sz w:val="24"/>
                  <w:szCs w:val="24"/>
                  <w:lang w:val="ru-RU" w:eastAsia="en-US" w:bidi="ar-SA"/>
                </w:rPr>
                <w:t>https://akgo74.ru/investoram/1261-п.pdf</w:t>
              </w:r>
            </w:hyperlink>
            <w:r>
              <w:rPr>
                <w:rFonts w:eastAsia="Calibri" w:cs="Times New Roman" w:ascii="Times New Roman" w:hAnsi="Times New Roman"/>
                <w:iCs/>
                <w:kern w:val="0"/>
                <w:sz w:val="24"/>
                <w:szCs w:val="24"/>
                <w:lang w:val="ru-RU" w:eastAsia="en-US" w:bidi="ar-SA"/>
              </w:rPr>
              <w:t>.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iCs/>
                <w:kern w:val="0"/>
                <w:sz w:val="24"/>
                <w:szCs w:val="24"/>
                <w:lang w:val="ru-RU" w:eastAsia="en-US" w:bidi="ar-SA"/>
              </w:rPr>
              <w:t>Показатели эффективности деятельности Главы Копейского городского округа и инвестиционного уполномоченного в Копейском городском округе размещены на сайте КГО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hyperlink r:id="rId18">
              <w:r>
                <w:rPr>
                  <w:rStyle w:val="Hyperlink"/>
                  <w:rFonts w:eastAsia="Calibri" w:cs="Times New Roman" w:ascii="Times New Roman" w:hAnsi="Times New Roman"/>
                  <w:iCs/>
                  <w:kern w:val="0"/>
                  <w:sz w:val="24"/>
                  <w:szCs w:val="24"/>
                  <w:lang w:val="ru-RU" w:eastAsia="en-US" w:bidi="ar-SA"/>
                </w:rPr>
                <w:t>https://www.akgo74.ru/about/investoram.php</w:t>
              </w:r>
            </w:hyperlink>
          </w:p>
        </w:tc>
      </w:tr>
      <w:tr>
        <w:trPr/>
        <w:tc>
          <w:tcPr>
            <w:tcW w:w="577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Calibri" w:hAnsi="Calibri" w:eastAsia="Calibri" w:cs=""/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8</w:t>
            </w:r>
          </w:p>
        </w:tc>
        <w:tc>
          <w:tcPr>
            <w:tcW w:w="4582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Calibri" w:hAnsi="Calibri" w:eastAsia="Calibri" w:cs=""/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Наличие механизма обратной связи (МОС) между инвесторами и местной администрацией (главой местной администрации, инвестиционным уполномоченным, ответственными сотрудниками)</w:t>
            </w:r>
          </w:p>
        </w:tc>
        <w:tc>
          <w:tcPr>
            <w:tcW w:w="9578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/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Style w:val="Hyperlink"/>
                <w:rFonts w:eastAsia="Calibri" w:cs="Times New Roman" w:ascii="Times New Roman" w:hAnsi="Times New Roman"/>
                <w:iCs/>
                <w:kern w:val="0"/>
                <w:sz w:val="24"/>
                <w:szCs w:val="24"/>
                <w:lang w:val="ru-RU" w:eastAsia="en-US" w:bidi="ar-SA"/>
              </w:rPr>
              <w:t>https://akgo74.ru/index.php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iCs/>
                <w:sz w:val="24"/>
                <w:szCs w:val="24"/>
              </w:rPr>
            </w:r>
          </w:p>
        </w:tc>
      </w:tr>
      <w:tr>
        <w:trPr/>
        <w:tc>
          <w:tcPr>
            <w:tcW w:w="577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Calibri" w:hAnsi="Calibri" w:eastAsia="Calibri" w:cs=""/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9</w:t>
            </w:r>
          </w:p>
        </w:tc>
        <w:tc>
          <w:tcPr>
            <w:tcW w:w="4582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Calibri" w:hAnsi="Calibri" w:eastAsia="Calibri" w:cs=""/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Прохождение ответственными сотрудниками местной администрации обучающих программ и профессиональной переподготовки по инвестиционной тематике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Calibri" w:hAnsi="Calibri" w:eastAsia="Calibri" w:cs=""/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ru-RU" w:eastAsia="en-US" w:bidi="ar-SA"/>
              </w:rPr>
            </w:r>
          </w:p>
        </w:tc>
        <w:tc>
          <w:tcPr>
            <w:tcW w:w="9578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iCs/>
                <w:kern w:val="0"/>
                <w:sz w:val="24"/>
                <w:szCs w:val="24"/>
                <w:lang w:val="ru-RU" w:eastAsia="en-US" w:bidi="ar-SA"/>
              </w:rPr>
              <w:t>Пескова Ольга Михайловна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i/>
                <w:i/>
                <w:iCs/>
                <w:color w:themeColor="background1" w:themeShade="a6" w:val="A6A6A6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iCs/>
                <w:kern w:val="0"/>
                <w:sz w:val="24"/>
                <w:szCs w:val="24"/>
                <w:lang w:val="ru-RU" w:eastAsia="en-US" w:bidi="ar-SA"/>
              </w:rPr>
              <w:t>«Эффективный инвестиционный уполномоченный» (РАНХиГС, 2024 г. 36 часов., Удостоверение о повышении квалификации 000000037480 регистрационный номер 21300н-2024-У-ВШГУ)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Пескова О.М. – заместитель Главы городского округа по финансам и экономике: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- Государственное частное партнерство в России: новый инструмент развития инфраструктуры (2015);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- Управление основанное на данных (2019 г.);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- Проектное управление (2021 г.).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Крылова Д.А. – начальник отдела экономики и стратегического планирования: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- Основы цифровой трансформации и цифровой экономики, технологии и компетенции (2019 г.);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- Проектное управление (2021 г.);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i/>
                <w:i/>
                <w:iCs/>
                <w:color w:themeColor="background1" w:themeShade="a6" w:val="A6A6A6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- Проектное управление (2021 г.)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i/>
                <w:i/>
                <w:iCs/>
                <w:color w:themeColor="background1" w:themeShade="a6" w:val="A6A6A6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i/>
                <w:iCs/>
                <w:color w:themeColor="background1" w:themeShade="a6" w:val="A6A6A6"/>
                <w:sz w:val="24"/>
                <w:szCs w:val="24"/>
              </w:rPr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i/>
                <w:i/>
                <w:iCs/>
                <w:color w:themeColor="background1" w:themeShade="a6" w:val="A6A6A6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Воробьева Е.А. – начальник отдела по инвестиционной политике, поддержке и развитию предпринимательства: - Управление проектами (2021г.);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i/>
                <w:i/>
                <w:iCs/>
                <w:color w:themeColor="background1" w:themeShade="a6" w:val="A6A6A6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- 2024г. - Тренинг «Презентация ресурсов и возможностей муниципальных образований для потенциальных инвесторов»;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i/>
                <w:i/>
                <w:iCs/>
                <w:color w:themeColor="background1" w:themeShade="a6" w:val="A6A6A6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- 2025г. Тренинг «Работа муниципальных образований с инвесторами».</w:t>
            </w:r>
          </w:p>
        </w:tc>
      </w:tr>
      <w:tr>
        <w:trPr/>
        <w:tc>
          <w:tcPr>
            <w:tcW w:w="577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Calibri" w:hAnsi="Calibri" w:eastAsia="Calibri" w:cs=""/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10</w:t>
            </w:r>
          </w:p>
        </w:tc>
        <w:tc>
          <w:tcPr>
            <w:tcW w:w="4582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Calibri" w:hAnsi="Calibri" w:eastAsia="Calibri" w:cs=""/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Наличие соглашения о сотрудничестве между администрацией Копейского городского округа и Центром «Мой бизнес»</w:t>
            </w:r>
          </w:p>
        </w:tc>
        <w:tc>
          <w:tcPr>
            <w:tcW w:w="9578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iCs/>
                <w:kern w:val="0"/>
                <w:sz w:val="24"/>
                <w:szCs w:val="24"/>
                <w:lang w:val="ru-RU" w:eastAsia="en-US" w:bidi="ar-SA"/>
              </w:rPr>
              <w:t>Есть. (20.03.2024г.)</w:t>
            </w:r>
          </w:p>
        </w:tc>
      </w:tr>
    </w:tbl>
    <w:p>
      <w:pPr>
        <w:pStyle w:val="Normal"/>
        <w:spacing w:before="0" w:after="160"/>
        <w:rPr>
          <w:rFonts w:ascii="Calibri Light" w:hAnsi="Calibri Light" w:cs="Calibri Light" w:asciiTheme="majorHAnsi" w:cstheme="majorHAnsi" w:hAnsiTheme="majorHAnsi"/>
          <w:sz w:val="24"/>
          <w:szCs w:val="24"/>
        </w:rPr>
      </w:pPr>
      <w:r>
        <w:rPr>
          <w:rFonts w:cs="Calibri Light" w:cstheme="majorHAnsi" w:ascii="Calibri Light" w:hAnsi="Calibri Light"/>
          <w:sz w:val="24"/>
          <w:szCs w:val="24"/>
        </w:rPr>
      </w:r>
    </w:p>
    <w:sectPr>
      <w:type w:val="nextPage"/>
      <w:pgSz w:orient="landscape" w:w="16838" w:h="11906"/>
      <w:pgMar w:left="1134" w:right="1134" w:gutter="0" w:header="0" w:top="680" w:footer="0" w:bottom="680"/>
      <w:pgNumType w:fmt="decimal"/>
      <w:formProt w:val="false"/>
      <w:textDirection w:val="lrTb"/>
      <w:docGrid w:type="default" w:linePitch="360" w:charSpace="12288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Tempora LGC Uni">
    <w:charset w:val="01"/>
    <w:family w:val="roman"/>
    <w:pitch w:val="variable"/>
  </w:font>
  <w:font w:name="Calibri">
    <w:charset w:val="01"/>
    <w:family w:val="roman"/>
    <w:pitch w:val="variable"/>
  </w:font>
  <w:font w:name="Open Sans">
    <w:charset w:val="01"/>
    <w:family w:val="roman"/>
    <w:pitch w:val="variable"/>
  </w:font>
  <w:font w:name="Times New Roman">
    <w:charset w:val="01"/>
    <w:family w:val="roman"/>
    <w:pitch w:val="variable"/>
  </w:font>
  <w:font w:name="Calibri Light">
    <w:charset w:val="01"/>
    <w:family w:val="roman"/>
    <w:pitch w:val="variable"/>
  </w:font>
</w:fonts>
</file>

<file path=word/settings.xml><?xml version="1.0" encoding="utf-8"?>
<w:settings xmlns:w="http://schemas.openxmlformats.org/wordprocessingml/2006/main">
  <w:zoom w:percent="100"/>
  <w:defaultTabStop w:val="708"/>
  <w:autoHyphenation w:val="true"/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ru-RU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rsid w:val="008f4383"/>
    <w:pPr>
      <w:widowControl/>
      <w:suppressAutoHyphens w:val="true"/>
      <w:bidi w:val="0"/>
      <w:spacing w:lineRule="auto" w:line="259" w:before="0" w:after="16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ru-RU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Hyperlink">
    <w:name w:val="Hyperlink"/>
    <w:basedOn w:val="DefaultParagraphFont"/>
    <w:uiPriority w:val="99"/>
    <w:unhideWhenUsed/>
    <w:rsid w:val="00fe7131"/>
    <w:rPr>
      <w:color w:themeColor="hyperlink" w:val="0563C1"/>
      <w:u w:val="single"/>
    </w:rPr>
  </w:style>
  <w:style w:type="character" w:styleId="FollowedHyperlink">
    <w:name w:val="FollowedHyperlink"/>
    <w:rPr>
      <w:color w:val="800000"/>
      <w:u w:val="single"/>
    </w:rPr>
  </w:style>
  <w:style w:type="paragraph" w:styleId="Style14">
    <w:name w:val="Заголовок"/>
    <w:basedOn w:val="Normal"/>
    <w:next w:val="BodyText"/>
    <w:qFormat/>
    <w:pPr>
      <w:keepNext w:val="true"/>
      <w:spacing w:before="240" w:after="120"/>
    </w:pPr>
    <w:rPr>
      <w:rFonts w:ascii="Open Sans" w:hAnsi="Open Sans" w:eastAsia="Droid Sans Fallback" w:cs="Lohit Devanagari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Lohit Devanagari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styleId="Style15">
    <w:name w:val="Указатель"/>
    <w:basedOn w:val="Normal"/>
    <w:qFormat/>
    <w:pPr>
      <w:suppressLineNumbers/>
    </w:pPr>
    <w:rPr>
      <w:rFonts w:cs="Lohit Devanagari"/>
    </w:rPr>
  </w:style>
  <w:style w:type="paragraph" w:styleId="1" w:customStyle="1">
    <w:name w:val="Заголовок1"/>
    <w:basedOn w:val="Normal"/>
    <w:next w:val="BodyText"/>
    <w:qFormat/>
    <w:pPr>
      <w:keepNext w:val="true"/>
      <w:spacing w:before="240" w:after="120"/>
    </w:pPr>
    <w:rPr>
      <w:rFonts w:ascii="Open Sans" w:hAnsi="Open Sans" w:eastAsia="Droid Sans Fallback" w:cs="Lohit Devanagari"/>
      <w:sz w:val="28"/>
      <w:szCs w:val="28"/>
    </w:rPr>
  </w:style>
  <w:style w:type="paragraph" w:styleId="Caption1">
    <w:name w:val="caption1"/>
    <w:basedOn w:val="Normal"/>
    <w:qFormat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styleId="Indexheading">
    <w:name w:val="index heading"/>
    <w:basedOn w:val="Normal"/>
    <w:qFormat/>
    <w:pPr>
      <w:suppressLineNumbers/>
    </w:pPr>
    <w:rPr>
      <w:rFonts w:cs="Lohit Devanagari"/>
    </w:rPr>
  </w:style>
  <w:style w:type="paragraph" w:styleId="Caption11" w:customStyle="1">
    <w:name w:val="caption11"/>
    <w:basedOn w:val="Normal"/>
    <w:qFormat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a9">
    <w:name w:val="Table Grid"/>
    <w:basedOn w:val="a1"/>
    <w:uiPriority w:val="39"/>
    <w:rsid w:val="00b8778a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yperlink" Target="https://akgo74.ru/about/investoram.php" TargetMode="External"/><Relationship Id="rId3" Type="http://schemas.openxmlformats.org/officeDocument/2006/relationships/hyperlink" Target="https://www.akgo74.ru/about/investoram.php" TargetMode="External"/><Relationship Id="rId4" Type="http://schemas.openxmlformats.org/officeDocument/2006/relationships/hyperlink" Target="https://akgo74.ru/about/investoram/ploshchadki-dlya-realizatsii-investitsionnykh-proektov/index.php" TargetMode="External"/><Relationship Id="rId5" Type="http://schemas.openxmlformats.org/officeDocument/2006/relationships/hyperlink" Target="https://akgo74.ru/about/strategicheskoe-planirovanie.php" TargetMode="External"/><Relationship Id="rId6" Type="http://schemas.openxmlformats.org/officeDocument/2006/relationships/hyperlink" Target="https://akgo74.ru/about/sotsialno-ekonomicheskoe-razvitie-kopeyskogo-gorodskogo-okruga-chelyabinskoy-oblasti.php" TargetMode="External"/><Relationship Id="rId7" Type="http://schemas.openxmlformats.org/officeDocument/2006/relationships/hyperlink" Target="https://akgo74.ru/documents/postanovleniya/2021-god/09-sentyabr/1608-&#1087; &#1086;&#1090; 04.07.2016.pdf" TargetMode="External"/><Relationship Id="rId8" Type="http://schemas.openxmlformats.org/officeDocument/2006/relationships/hyperlink" Target="https://www.akgo74.ru/investoram/gosudarstvennaya-i-munitsipalnaya-podderzhka-investorov/index.php" TargetMode="External"/><Relationship Id="rId9" Type="http://schemas.openxmlformats.org/officeDocument/2006/relationships/hyperlink" Target="https://akgo74.ru/about/investoram/predlozheniya-dlya-investorov-po-stroitelstvu-mnogofunktsionalnogo-pridorozhnogo-kompleksa/index.php" TargetMode="External"/><Relationship Id="rId10" Type="http://schemas.openxmlformats.org/officeDocument/2006/relationships/hyperlink" Target="https://www.akgo74.ru/about/investoram.php" TargetMode="External"/><Relationship Id="rId11" Type="http://schemas.openxmlformats.org/officeDocument/2006/relationships/hyperlink" Target="https://www.akgo74.ru/about/investoram.php" TargetMode="External"/><Relationship Id="rId12" Type="http://schemas.openxmlformats.org/officeDocument/2006/relationships/hyperlink" Target="https://akgo74.ru/documents/postanovleniya/2023-god/oktyabr/3395-&#1087; &#1086;&#1090; 16.10.2023.pdf" TargetMode="External"/><Relationship Id="rId13" Type="http://schemas.openxmlformats.org/officeDocument/2006/relationships/hyperlink" Target="https://akgo74.ru/about/obshchestvennyy-koordinatsionnyy-sovet-po-razvitiyu-malogo-i-srednego-predprinimatelstva.php" TargetMode="External"/><Relationship Id="rId14" Type="http://schemas.openxmlformats.org/officeDocument/2006/relationships/hyperlink" Target="https://akgo74.ru/about/zasedaniya-obshchestvennogo-koordinatsionnogo-soveta.php" TargetMode="External"/><Relationship Id="rId15" Type="http://schemas.openxmlformats.org/officeDocument/2006/relationships/hyperlink" Target="https://akgo74.ru/about/investitsionnye-proekty.php" TargetMode="External"/><Relationship Id="rId16" Type="http://schemas.openxmlformats.org/officeDocument/2006/relationships/hyperlink" Target="https://www.akgo74.ru/investoram/skhema-vzaimodeystviya-s-omsu/index.php" TargetMode="External"/><Relationship Id="rId17" Type="http://schemas.openxmlformats.org/officeDocument/2006/relationships/hyperlink" Target="https://akgo74.ru/investoram/1261-&#1087;.pdf" TargetMode="External"/><Relationship Id="rId18" Type="http://schemas.openxmlformats.org/officeDocument/2006/relationships/hyperlink" Target="https://www.akgo74.ru/about/investoram.php" TargetMode="External"/><Relationship Id="rId19" Type="http://schemas.openxmlformats.org/officeDocument/2006/relationships/fontTable" Target="fontTable.xml"/><Relationship Id="rId20" Type="http://schemas.openxmlformats.org/officeDocument/2006/relationships/settings" Target="settings.xml"/><Relationship Id="rId21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itchFamily="0" charset="1"/>
        <a:ea typeface=""/>
        <a:cs typeface=""/>
      </a:majorFont>
      <a:minorFont>
        <a:latin typeface="Calibri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 l="0" t="0" r="0" b="0"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 l="0" t="0" r="0" b="0"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 l="0" t="0" r="0" b="0"/>
        </a:gra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202</TotalTime>
  <Application>LibreOffice/7.6.0.3$Linux_X86_64 LibreOffice_project/60$Build-3</Application>
  <AppVersion>15.0000</AppVersion>
  <Pages>4</Pages>
  <Words>840</Words>
  <Characters>7552</Characters>
  <CharactersWithSpaces>8286</CharactersWithSpaces>
  <Paragraphs>114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2024-02-16T09:04:00Z</dcterms:created>
  <dc:creator>Мой бизнес</dc:creator>
  <dc:description/>
  <dc:language>ru-RU</dc:language>
  <cp:lastModifiedBy/>
  <cp:lastPrinted>2024-02-20T06:43:00Z</cp:lastPrinted>
  <dcterms:modified xsi:type="dcterms:W3CDTF">2026-06-19T08:52:08Z</dcterms:modified>
  <cp:revision>41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