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54"/>
        <w:jc w:val="center"/>
        <w:rPr>
          <w:rFonts w:ascii="Times New Roman" w:hAnsi="Times New Roman" w:eastAsia="Calibri" w:cs="Times New Roman"/>
          <w:sz w:val="27"/>
          <w:szCs w:val="27"/>
          <w:lang w:eastAsia="en-US"/>
        </w:rPr>
      </w:pPr>
      <w:r>
        <w:rPr>
          <w:rFonts w:eastAsia="Calibri" w:cs="Times New Roman" w:ascii="Times New Roman" w:hAnsi="Times New Roman"/>
          <w:sz w:val="27"/>
          <w:szCs w:val="27"/>
          <w:lang w:eastAsia="en-US"/>
        </w:rPr>
        <w:t xml:space="preserve">Информация о проведении экспертизы </w:t>
      </w:r>
    </w:p>
    <w:p>
      <w:pPr>
        <w:pStyle w:val="Normal"/>
        <w:widowControl/>
        <w:spacing w:lineRule="auto" w:line="254"/>
        <w:jc w:val="center"/>
        <w:rPr>
          <w:rFonts w:ascii="Times New Roman" w:hAnsi="Times New Roman" w:eastAsia="Calibri" w:cs="Times New Roman"/>
          <w:sz w:val="27"/>
          <w:szCs w:val="27"/>
          <w:lang w:eastAsia="en-US"/>
        </w:rPr>
      </w:pPr>
      <w:r>
        <w:rPr>
          <w:rFonts w:eastAsia="Calibri" w:cs="Times New Roman" w:ascii="Times New Roman" w:hAnsi="Times New Roman"/>
          <w:sz w:val="27"/>
          <w:szCs w:val="27"/>
          <w:lang w:eastAsia="en-US"/>
        </w:rPr>
        <w:t xml:space="preserve">нормативных правовых актов, затрагивающих вопросы осуществления предпринимательской и инвестиционной деятельности </w:t>
      </w:r>
      <w:r>
        <w:rPr>
          <w:rFonts w:eastAsia="Calibri" w:cs="Times New Roman" w:ascii="Times New Roman" w:hAnsi="Times New Roman"/>
          <w:sz w:val="27"/>
          <w:szCs w:val="27"/>
          <w:lang w:eastAsia="en-US"/>
        </w:rPr>
        <w:t>в</w:t>
      </w:r>
      <w:r>
        <w:rPr>
          <w:rFonts w:eastAsia="Calibri" w:cs="Times New Roman" w:ascii="Times New Roman" w:hAnsi="Times New Roman"/>
          <w:sz w:val="27"/>
          <w:szCs w:val="27"/>
          <w:lang w:eastAsia="en-US"/>
        </w:rPr>
        <w:t xml:space="preserve"> 2022 год</w:t>
      </w:r>
      <w:r>
        <w:rPr>
          <w:rFonts w:eastAsia="Calibri" w:cs="Times New Roman" w:ascii="Times New Roman" w:hAnsi="Times New Roman"/>
          <w:sz w:val="27"/>
          <w:szCs w:val="27"/>
          <w:lang w:eastAsia="en-US"/>
        </w:rPr>
        <w:t>у</w:t>
      </w:r>
    </w:p>
    <w:p>
      <w:pPr>
        <w:pStyle w:val="Normal"/>
        <w:widowControl/>
        <w:spacing w:lineRule="auto" w:line="254"/>
        <w:jc w:val="center"/>
        <w:rPr>
          <w:rFonts w:ascii="Times New Roman" w:hAnsi="Times New Roman" w:eastAsia="Calibri" w:cs="Times New Roman"/>
          <w:sz w:val="27"/>
          <w:szCs w:val="27"/>
          <w:lang w:eastAsia="en-US"/>
        </w:rPr>
      </w:pPr>
      <w:r>
        <w:rPr>
          <w:rFonts w:eastAsia="Calibri" w:cs="Times New Roman" w:ascii="Times New Roman" w:hAnsi="Times New Roman"/>
          <w:sz w:val="27"/>
          <w:szCs w:val="27"/>
          <w:lang w:eastAsia="en-US"/>
        </w:rPr>
      </w:r>
    </w:p>
    <w:tbl>
      <w:tblPr>
        <w:tblW w:w="10206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7"/>
        <w:gridCol w:w="4536"/>
        <w:gridCol w:w="2835"/>
        <w:gridCol w:w="2267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Наименование нормативных правовых актов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Информация о проведении экспертизы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Уполномоченный орган на проведение экспертизы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Административный регламент по предоставлению муниципальной услуги «Продажа объекта недвижимости по преимущественному праву на приобретение арендуемого имущества субъекта малого и среднего предпринимательства», утвержденный постановлением администрации Копейского городского округа от 15.03.2016 года № 535-п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Постановление отменено.  Постановлением администрации Копейского городского округа от 24.11.2022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2790-п утвержден административный регламент по предоставлению муниципальной услуги «Предоставление недвижимого имущества, находящегося в государственной и (или)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Отдел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по управлению имуществом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управления по имуществу и земельным отношениям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eastAsia="Calibri" w:cs="Times New Roman"/>
                <w:sz w:val="26"/>
                <w:szCs w:val="26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outlineLvl w:val="0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Административный регламент</w:t>
            </w: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по предоставлению муниципальной услуги «Предоставление в аренду, безвозмездное пользование имущества, находящегося в муниципальной собственности»,</w:t>
            </w: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 xml:space="preserve"> утвержденный постановлением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shd w:fill="FFFFFF" w:val="clear"/>
              </w:rPr>
              <w:t>администрации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shd w:fill="FFFFFF" w:val="clear"/>
              </w:rPr>
              <w:t>Копейского городского округа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shd w:fill="FFFFFF" w:val="clear"/>
              </w:rPr>
              <w:t>Челябинской области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shd w:fill="FFFFFF" w:val="clear"/>
              </w:rPr>
              <w:t>от 27.04.2018 г. № 1066-п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Отчет об ОФВ, справка о проведении публичных консультаций, заключение  об ОФВ НПА от 28.12.2022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32217-пс  размещены на официальном сайте Копейского городского округа в разделе «Оценка регулирующего воздействия»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Отдел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по управлению имуществом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управления по имуществу и земельным отношениям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Административный регламент по предоставлению муниципальной услуги «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Предоставление</w:t>
            </w: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в собственность, аренду, постоянное (бессрочное)</w:t>
            </w: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пользование, безвозмездное пользование</w:t>
            </w: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земельного участка, находящегося в государственной</w:t>
            </w: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», утвержденный постановлением администрации Копейского городского округа Челябинской области от 25.06.2020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1403-п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Постановление отменено. Постановлением администрации Копейского городского округа от 29.08.2022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2248-п утвержден административный регламент по предоставлению муниципальной услуги «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Предоставление</w:t>
            </w: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в собственность, аренду, постоянное (бессрочное)</w:t>
            </w: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пользование, безвозмездное пользование</w:t>
            </w: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земельного участка, находящегося в государственной</w:t>
            </w: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Отдел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по управлению земельными ресурсами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управления по имуществу и земельным отношениям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Постановление администрации Копейского городского округа от 29 октября 2014г. № 3697-п «Об определении границ прилегающих к некоторым организациям и объектам территорий, на которых не допускается розничная продажа алкогольной продукции, с приложением схем границ прилегающих территорий для каждой организации и (или) объекта»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Порядок определения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границ прилегающих к некоторым организациям и объектам территорий, на которых не допускается розничная продажа алкогольной продукции изложен в новой редакции. Постановление администрации Копейского городского округа от 03.10.2022 № 2610-п «О внесении изменений и дополнений в постановление администрации Копейского городского округа от 29.10.2014 № 3697-п»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Отдел по инвестиционной политике, поддержке и развитию предпринима-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тельства управления экономического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развития администрации Копейского городского округа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4753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LibreOffice/7.6.0.3$Linux_X86_64 LibreOffice_project/60$Build-3</Application>
  <AppVersion>15.0000</AppVersion>
  <Pages>3</Pages>
  <Words>380</Words>
  <Characters>3063</Characters>
  <CharactersWithSpaces>3417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2021-10-01T08:47:00Z</dcterms:created>
  <dc:creator>Воробьева Елена Анатольевна</dc:creator>
  <dc:description/>
  <dc:language>ru-RU</dc:language>
  <cp:lastModifiedBy/>
  <dcterms:modified xsi:type="dcterms:W3CDTF">2024-12-27T13:31:27Z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