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ОТЧЕТ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об оценке регулирующего воздействия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проекта нормативного правового акта </w:t>
      </w:r>
      <w:bookmarkStart w:id="0" w:name="_GoBack"/>
      <w:bookmarkEnd w:id="0"/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id="1" w:name="sub_1058"/>
      <w:r>
        <w:rPr>
          <w:rFonts w:eastAsia="Times New Roman" w:cs="Times New Roman" w:ascii="Times New Roman" w:hAnsi="Times New Roman"/>
          <w:sz w:val="28"/>
          <w:szCs w:val="28"/>
        </w:rPr>
        <w:t>1. Общие сведения</w:t>
      </w:r>
      <w:bookmarkEnd w:id="1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1.1. Орган администрации городского округа - разработчик проекта муниципального нормативного правового акта: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отдел по инвестиционной политике, поддержке и развитию предпринимательства управления экономического развития администрации Копейского городского округа Челябинской области.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1.2. Вид и наименование проекта нормативного правового акта: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проект постановления администрации Копейского городского округа Челябинской области «Об организации предоставления торговых мест для размещения нестационарных объектов сезонной торговли на территории Копейского городского округа».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1.3. Предполагаемая дата вступления в силу нормативного правового акта: август 2024 года.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1.4. Необходимость установления переходного периода и (или) отсрочки введения предлагаемого регулирования, необходимость распространения предлагаемого регулирования на ранее возникшие отношения: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не требуется.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1.5. Контактная информация исполнителя органа-разработчика: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Ф.И.О.: Воробьева Елена Анатольевна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Должность: начальник отдела по инвестиционной политике, поддержке и развитию предпринимательства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Тел: 8(35139)40-150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Адрес электронной почты: </w:t>
      </w:r>
      <w:hyperlink r:id="rId2">
        <w:r>
          <w:rPr>
            <w:rStyle w:val="Hyperlink"/>
            <w:rFonts w:eastAsia="Times New Roman" w:cs="Times New Roman" w:ascii="Times New Roman" w:hAnsi="Times New Roman"/>
            <w:sz w:val="28"/>
            <w:szCs w:val="28"/>
            <w:lang w:val="en-US"/>
          </w:rPr>
          <w:t>otdeltorgovli</w:t>
        </w:r>
        <w:r>
          <w:rPr>
            <w:rStyle w:val="Hyperlink"/>
            <w:rFonts w:eastAsia="Times New Roman" w:cs="Times New Roman" w:ascii="Times New Roman" w:hAnsi="Times New Roman"/>
            <w:sz w:val="28"/>
            <w:szCs w:val="28"/>
          </w:rPr>
          <w:t>@</w:t>
        </w:r>
        <w:r>
          <w:rPr>
            <w:rStyle w:val="Hyperlink"/>
            <w:rFonts w:eastAsia="Times New Roman" w:cs="Times New Roman" w:ascii="Times New Roman" w:hAnsi="Times New Roman"/>
            <w:sz w:val="28"/>
            <w:szCs w:val="28"/>
            <w:lang w:val="en-US"/>
          </w:rPr>
          <w:t>bk</w:t>
        </w:r>
        <w:r>
          <w:rPr>
            <w:rStyle w:val="Hyperlink"/>
            <w:rFonts w:eastAsia="Times New Roman" w:cs="Times New Roman" w:ascii="Times New Roman" w:hAnsi="Times New Roman"/>
            <w:sz w:val="28"/>
            <w:szCs w:val="28"/>
          </w:rPr>
          <w:t>.</w:t>
        </w:r>
        <w:r>
          <w:rPr>
            <w:rStyle w:val="Hyperlink"/>
            <w:rFonts w:eastAsia="Times New Roman" w:cs="Times New Roman" w:ascii="Times New Roman" w:hAnsi="Times New Roman"/>
            <w:sz w:val="28"/>
            <w:szCs w:val="28"/>
            <w:lang w:val="en-US"/>
          </w:rPr>
          <w:t>ru</w:t>
        </w:r>
      </w:hyperlink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id="2" w:name="sub_1059"/>
      <w:r>
        <w:rPr>
          <w:rFonts w:eastAsia="Times New Roman" w:cs="Times New Roman" w:ascii="Times New Roman" w:hAnsi="Times New Roman"/>
          <w:sz w:val="28"/>
          <w:szCs w:val="28"/>
        </w:rPr>
        <w:t>2. Проблема, на решение которой направлено принятие нормативного</w:t>
      </w:r>
      <w:bookmarkEnd w:id="2"/>
      <w:r>
        <w:rPr>
          <w:rFonts w:eastAsia="Times New Roman" w:cs="Times New Roman" w:ascii="Times New Roman" w:hAnsi="Times New Roman"/>
          <w:sz w:val="28"/>
          <w:szCs w:val="28"/>
        </w:rPr>
        <w:t xml:space="preserve"> правового акта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2.1. Формулировка проблемы:</w:t>
      </w:r>
    </w:p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еобходимость обеспечения жителей городского округа качественными и безопасными товарами сезонного происхождения, создание условий для размещения и функционирования сезонных объектов в шаговой доступности, недостаточное правовое регулирование отдельного сегмента мелкорозничной торговли, необходимого и востребованного как гражданами, так и субъектами малого и среднего предпринимательства.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Актуальной задачей является проработка вопроса по порядку предоставления торговых мест для размещения нестационарных объектов сезонной торговли.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2.2. Характеристика основных негативных эффектов, возникающих в связи с наличием проблемы, группы участников общественных отношений, испытывающих негативные эффекты, и их количественные оценки: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1) хозяйствующие субъекты не имеют возможности реализовать право на осуществление сезонной торговли;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2) в случае использования Порядка размещения временных нестационарных объектов, то к негативным эффектам нужно отнести наличие избыточных требований к СМСП в целях осуществления кратковременного сезонного размещения нестационарных объектов розничной торговли;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3) риск несанкционированной торговли в местах, не предназначенных для этих целей, связанный с ним риск нарушения санитарных и ветеринарных правил, иных требований безопасности и качества реализуемой продукции.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Участники: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СМСП – юридические лица или индивидуальные предприниматели, желающие разместить объекты сезонной торговли;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общество в лице потребителей услуг розничной торговли.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2.3. Информация о возникновении, выявлении проблемы и мерах, принятых ранее для ее решения, достигнутых результатах и затраченных ресурсах: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Обращения СМСП, наличие несанкционированной торговли на территории  города, нарушение санитарных правил и иных требований безопасности и качества реализуемой продукции.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2.4. Причины невозможности решения проблемы участниками соответствующих отношений самостоятельно без вмешательства органа местного самоуправления: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Регулирование сезонной торговли в рамках действующего законодательства отсутствует.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2.5. Источники данных: обращения СМСП, обращения граждан, административная комиссия администрации городского округа.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 </w:t>
      </w:r>
      <w:bookmarkStart w:id="3" w:name="sub_1060"/>
      <w:r>
        <w:rPr>
          <w:rFonts w:eastAsia="Times New Roman" w:cs="Times New Roman" w:ascii="Times New Roman" w:hAnsi="Times New Roman"/>
          <w:sz w:val="28"/>
          <w:szCs w:val="28"/>
        </w:rPr>
        <w:t>Цели регулирования</w:t>
      </w:r>
      <w:bookmarkEnd w:id="3"/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3.1. инициативный порядок разработки.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указывается нормативный правовой акт более высокого уровня, указание на инициативный порядок разработки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eastAsia="Times New Roman" w:cs="Times New Roman" w:ascii="Times New Roman" w:hAnsi="Times New Roman"/>
          <w:sz w:val="24"/>
          <w:szCs w:val="20"/>
        </w:rPr>
      </w:r>
    </w:p>
    <w:tbl>
      <w:tblPr>
        <w:tblW w:w="95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859"/>
        <w:gridCol w:w="4680"/>
      </w:tblGrid>
      <w:tr>
        <w:trPr/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</w:rPr>
              <w:t>Описание целей предлагаемого регулирования, их соотношение с проблемой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</w:rPr>
              <w:t>Сроки достижения целей предлагаемого регулирования</w:t>
            </w:r>
          </w:p>
        </w:tc>
      </w:tr>
      <w:tr>
        <w:trPr/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Упорядочение размещения объектов сезонного назначения и создание условий для организации уличной торговли.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с 2024 года, постоянно</w:t>
            </w:r>
          </w:p>
        </w:tc>
      </w:tr>
      <w:tr>
        <w:trPr/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</w:rPr>
              <w:t>Формирование благоприятных условий развития субъектов малого и среднего предпринимательства, способствующих увеличению вклада в экономику Копейского городского округа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с 2024 года, постоянно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eastAsia="Times New Roman" w:cs="Times New Roman" w:ascii="Times New Roman" w:hAnsi="Times New Roman"/>
          <w:sz w:val="24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id="4" w:name="sub_1061"/>
      <w:r>
        <w:rPr>
          <w:rFonts w:eastAsia="Times New Roman" w:cs="Times New Roman" w:ascii="Times New Roman" w:hAnsi="Times New Roman"/>
          <w:sz w:val="28"/>
          <w:szCs w:val="28"/>
        </w:rPr>
        <w:t>4. Варианты решения проблемы</w:t>
      </w:r>
      <w:bookmarkEnd w:id="4"/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4.1. Описание предлагаемого варианта решения проблемы и преодоление связанных с ней негативных эффектов: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принятие проекта постановления позволит упорядочить сезонную торговлю, а также проектом акта регламентируется порядок предоставления торговых мест для размещения объектов сезонной торговли.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4.2. Описание иных вариантов решения проблемы (с указанием того, каким образом каждым из способов могла бы быть решена проблема):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отсутствуют.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4.3. Обоснование выбора предлагаемого варианта решения проблемы: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Иной способ решения проблемы отсутствует.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id="5" w:name="sub_1062"/>
      <w:r>
        <w:rPr>
          <w:rFonts w:eastAsia="Times New Roman" w:cs="Times New Roman" w:ascii="Times New Roman" w:hAnsi="Times New Roman"/>
          <w:sz w:val="28"/>
          <w:szCs w:val="28"/>
        </w:rPr>
        <w:t>5. Основные группы участников общественных отношений, интересы которых</w:t>
      </w:r>
      <w:bookmarkEnd w:id="5"/>
      <w:r>
        <w:rPr>
          <w:rFonts w:eastAsia="Times New Roman" w:cs="Times New Roman" w:ascii="Times New Roman" w:hAnsi="Times New Roman"/>
          <w:sz w:val="28"/>
          <w:szCs w:val="28"/>
        </w:rPr>
        <w:t xml:space="preserve"> будут затронуты принятием нормативного правового акта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972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19"/>
        <w:gridCol w:w="4500"/>
      </w:tblGrid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</w:rPr>
              <w:t>Группа участников общественных отношений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</w:rPr>
              <w:t>Количество участников</w:t>
            </w:r>
          </w:p>
        </w:tc>
      </w:tr>
      <w:tr>
        <w:trPr>
          <w:trHeight w:val="495" w:hRule="atLeast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</w:rPr>
              <w:t>Субъекты малого и среднего предпринимательства Копейского городского округа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не ограничено</w:t>
            </w:r>
          </w:p>
        </w:tc>
      </w:tr>
      <w:tr>
        <w:trPr>
          <w:trHeight w:val="495" w:hRule="atLeast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Администрация городского округа (управление экономического развития территории городского округа, управление архитектуры и градостроительства)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id="6" w:name="sub_1063"/>
      <w:r>
        <w:rPr>
          <w:rFonts w:eastAsia="Times New Roman" w:cs="Times New Roman" w:ascii="Times New Roman" w:hAnsi="Times New Roman"/>
          <w:sz w:val="28"/>
          <w:szCs w:val="28"/>
        </w:rPr>
        <w:t>6. Изменение функции, полномочий, обязанностей и прав органов местного</w:t>
      </w:r>
      <w:bookmarkEnd w:id="6"/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      самоуправления: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Изменения функций, полномочий, обязанностей и прав органов местного самоуправления принятие данного нормативного правового акта не повлечет.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id="7" w:name="sub_1064"/>
      <w:r>
        <w:rPr>
          <w:rFonts w:eastAsia="Times New Roman" w:cs="Times New Roman" w:ascii="Times New Roman" w:hAnsi="Times New Roman"/>
          <w:sz w:val="28"/>
          <w:szCs w:val="28"/>
        </w:rPr>
        <w:t>7. Оценка расходов и доходов бюджета</w:t>
      </w:r>
      <w:bookmarkEnd w:id="7"/>
      <w:r>
        <w:rPr>
          <w:rFonts w:eastAsia="Times New Roman" w:cs="Times New Roman" w:ascii="Times New Roman" w:hAnsi="Times New Roman"/>
          <w:sz w:val="28"/>
          <w:szCs w:val="28"/>
        </w:rPr>
        <w:t>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Расходы, связанные с опубликованием постановления за счет средств бюджета, предусмотренных на эти цели.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Увеличение доходов в местный бюджет за счет оплаты СМСП использования торгового места для размещения объектов сезонной торговли.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8. </w:t>
      </w:r>
      <w:bookmarkStart w:id="8" w:name="sub_1065"/>
      <w:r>
        <w:rPr>
          <w:rFonts w:eastAsia="Times New Roman" w:cs="Times New Roman" w:ascii="Times New Roman" w:hAnsi="Times New Roman"/>
          <w:sz w:val="28"/>
          <w:szCs w:val="28"/>
        </w:rPr>
        <w:t>Новые обязанности или ограничения для субъектов предпринимательской и</w:t>
      </w:r>
      <w:bookmarkEnd w:id="8"/>
      <w:r>
        <w:rPr>
          <w:rFonts w:eastAsia="Times New Roman" w:cs="Times New Roman" w:ascii="Times New Roman" w:hAnsi="Times New Roman"/>
          <w:sz w:val="28"/>
          <w:szCs w:val="28"/>
        </w:rPr>
        <w:t xml:space="preserve"> (или) инвестиционной деятельности: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возникновение новых обязанностей или ограничений для СМСП не предполагается.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id="9" w:name="sub_1066"/>
      <w:r>
        <w:rPr>
          <w:rFonts w:eastAsia="Times New Roman" w:cs="Times New Roman" w:ascii="Times New Roman" w:hAnsi="Times New Roman"/>
          <w:sz w:val="28"/>
          <w:szCs w:val="28"/>
        </w:rPr>
        <w:t>9. Оценка дополнительных расходов предпринимателей и (или) инвесторов</w:t>
      </w:r>
      <w:bookmarkEnd w:id="9"/>
      <w:r>
        <w:rPr>
          <w:rFonts w:eastAsia="Times New Roman" w:cs="Times New Roman" w:ascii="Times New Roman" w:hAnsi="Times New Roman"/>
          <w:sz w:val="28"/>
          <w:szCs w:val="28"/>
        </w:rPr>
        <w:t>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Необходимость оплаты СМСП использования торгового места для размещения объектов сезонной торговли.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10. </w:t>
      </w:r>
      <w:bookmarkStart w:id="10" w:name="sub_1067"/>
      <w:r>
        <w:rPr>
          <w:rFonts w:eastAsia="Times New Roman" w:cs="Times New Roman" w:ascii="Times New Roman" w:hAnsi="Times New Roman"/>
          <w:sz w:val="28"/>
          <w:szCs w:val="28"/>
        </w:rPr>
        <w:t>Оценка последствий и рисков решения проблемы предложенным способом</w:t>
      </w:r>
      <w:bookmarkEnd w:id="10"/>
      <w:r>
        <w:rPr>
          <w:rFonts w:eastAsia="Times New Roman" w:cs="Times New Roman" w:ascii="Times New Roman" w:hAnsi="Times New Roman"/>
          <w:sz w:val="28"/>
          <w:szCs w:val="28"/>
        </w:rPr>
        <w:t>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1) риск пересдачи мест размещения объектов сезонной торговли от посреднических структур, получивших разрешение на размещение, реальным предпринимателям. При этом сумма посреднических услуг может быть оценена в весьма серьезных величинах;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2) при выборе данного варианта регулирования будет минимизироваться риск возникновения коррупционных проявлений при принятии решения о предоставлении права на размещение объектов сезонной торговли;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3) прописаны объективные регламентированные критерии отбора на получение права участия в аукционе.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eastAsia="Times New Roman" w:cs="Times New Roman" w:ascii="Times New Roman" w:hAnsi="Times New Roman"/>
          <w:sz w:val="24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id="11" w:name="sub_1068"/>
      <w:r>
        <w:rPr>
          <w:rFonts w:eastAsia="Times New Roman" w:cs="Times New Roman" w:ascii="Times New Roman" w:hAnsi="Times New Roman"/>
          <w:sz w:val="28"/>
          <w:szCs w:val="28"/>
        </w:rPr>
        <w:t>11. Описание методов оценки эффективности и методов контроля эффективности избранного варианта</w:t>
      </w:r>
      <w:bookmarkEnd w:id="11"/>
    </w:p>
    <w:tbl>
      <w:tblPr>
        <w:tblW w:w="973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034"/>
        <w:gridCol w:w="2185"/>
        <w:gridCol w:w="1732"/>
        <w:gridCol w:w="1843"/>
        <w:gridCol w:w="1941"/>
      </w:tblGrid>
      <w:tr>
        <w:trPr/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</w:rPr>
              <w:t>Цели предлагаемого регулирования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</w:rPr>
              <w:t>Показатели (индикаторы) достижения целей регулирования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</w:rPr>
              <w:t>Ед. измерения показателя (индикатора)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</w:rPr>
              <w:t>Способ расчета показателя (индикатора)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</w:rPr>
              <w:t>Источники информации для расчета</w:t>
            </w:r>
          </w:p>
        </w:tc>
      </w:tr>
      <w:tr>
        <w:trPr/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Создание условий для организации сезонной торговли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</w:rPr>
              <w:t>Количество поданных заявок на участие в аукционе на предоставление права использования торгового места для размещения нестационарных объектов сезонной торговли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По факту подачи обращений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Данные администрации КГО</w:t>
            </w:r>
          </w:p>
        </w:tc>
      </w:tr>
      <w:tr>
        <w:trPr/>
        <w:tc>
          <w:tcPr>
            <w:tcW w:w="2034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Количество выданных договоров на право использования торгового места для размещения нестационарных объектов сезонной торговли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По итогам аукциона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Данные администрации КГО</w:t>
            </w:r>
          </w:p>
        </w:tc>
      </w:tr>
      <w:tr>
        <w:trPr/>
        <w:tc>
          <w:tcPr>
            <w:tcW w:w="20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Количество выявленных случаев несанкционирован-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ной торговли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Обращения граждан, итоги рейдов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Данные администрации КГО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eastAsia="Times New Roman" w:cs="Times New Roman" w:ascii="Times New Roman" w:hAnsi="Times New Roman"/>
          <w:sz w:val="24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id="12" w:name="sub_1069"/>
      <w:r>
        <w:rPr>
          <w:rFonts w:eastAsia="Times New Roman" w:cs="Times New Roman" w:ascii="Times New Roman" w:hAnsi="Times New Roman"/>
          <w:sz w:val="28"/>
          <w:szCs w:val="28"/>
        </w:rPr>
        <w:t>12. Необходимые мероприятия для достижения цели</w:t>
      </w:r>
      <w:bookmarkEnd w:id="12"/>
    </w:p>
    <w:tbl>
      <w:tblPr>
        <w:tblW w:w="964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662"/>
        <w:gridCol w:w="1702"/>
        <w:gridCol w:w="1591"/>
        <w:gridCol w:w="1819"/>
        <w:gridCol w:w="1871"/>
      </w:tblGrid>
      <w:tr>
        <w:trPr/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</w:rPr>
              <w:t>Мероприятия, необходимые для достижения целей регулирования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</w:rPr>
              <w:t>Сроки мероприятий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</w:rPr>
              <w:t>Описание ожидаемого результата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Объем финансирования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</w:rPr>
              <w:t>(тыс. рублей)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Источники финансирования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</w:rPr>
              <w:t>(тыс. рублей)</w:t>
            </w:r>
          </w:p>
        </w:tc>
      </w:tr>
      <w:tr>
        <w:trPr/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Проведение информационных и организационных мероприятий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В течение всего периода действия порядка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Отсутствие несанкционированной торговли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12.1. Общий объем затрат на необходимые для достижения заявленных  целей регулирования: затраты отсутствуют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id="13" w:name="sub_1070"/>
      <w:r>
        <w:rPr>
          <w:rFonts w:eastAsia="Times New Roman" w:cs="Times New Roman" w:ascii="Times New Roman" w:hAnsi="Times New Roman"/>
          <w:sz w:val="28"/>
          <w:szCs w:val="28"/>
        </w:rPr>
        <w:t>13. Выводы об обоснованности предлагаемого регулирования</w:t>
      </w:r>
      <w:bookmarkEnd w:id="13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13.1. Выводы об отсутствии либо обоснованности наличия в проекте нормативного правового акта положений, которые: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13.1.1. вводят административные и иные ограничения и обязанности для субъектов предпринимательской, инвестиционной и иной деятельности или способствуют их введению: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отсутствуют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13.1.2. способствуют возникновению расходов субъектов предпринимательской, инвестиционной и иной деятельности: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Необходимость оплаты СМСП земельного участка для размещения объектов сезонной торговли на период организации торговли.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13.1.3. способствуют возникновению расходов консолидированного бюджета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Копейского городского округа: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Расходы, связанные с опубликованием постановления за счет средств бюджета, предусмотренных на эти цели.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13.1.4. способствуют ограничению конкуренции: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не способствуют.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bookmarkStart w:id="14" w:name="sub_1071"/>
      <w:r>
        <w:rPr>
          <w:rFonts w:eastAsia="Times New Roman" w:cs="Times New Roman" w:ascii="Times New Roman" w:hAnsi="Times New Roman"/>
          <w:sz w:val="28"/>
          <w:szCs w:val="28"/>
        </w:rPr>
        <w:t>14. Справка о проведении публичных консультаций</w:t>
      </w:r>
      <w:bookmarkEnd w:id="14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14.1. Срок, в течение которого органом-разработчиком принимались предложения в связи с публичным обсуждением проекта акта: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начало:          «08» июля 2024 г.;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окончание:    «29» июля 2024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14.2. Сведения о количестве замечаний и предложений, полученных в связи с публичными консультациями по проекту акта: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Справка о проведении публичных консультаций прилагается.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14.3. Полный электронный адрес размещения свода предложений, поступивших в связи с проведением  публичных  консультаций  по  проекту  нормативного правового акта, с указанием сведений об их учете или причинах отклонения: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  <w:lang w:val="en-US"/>
        </w:rPr>
        <w:t>https</w:t>
      </w:r>
      <w:r>
        <w:rPr>
          <w:rFonts w:eastAsia="Times New Roman" w:cs="Times New Roman" w:ascii="Times New Roman" w:hAnsi="Times New Roman"/>
          <w:sz w:val="26"/>
          <w:szCs w:val="26"/>
        </w:rPr>
        <w:t>//</w:t>
      </w:r>
      <w:r>
        <w:rPr>
          <w:rFonts w:eastAsia="Times New Roman" w:cs="Times New Roman" w:ascii="Times New Roman" w:hAnsi="Times New Roman"/>
          <w:sz w:val="26"/>
          <w:szCs w:val="26"/>
          <w:lang w:val="en-US"/>
        </w:rPr>
        <w:t>akgo</w:t>
      </w:r>
      <w:r>
        <w:rPr>
          <w:rFonts w:eastAsia="Times New Roman" w:cs="Times New Roman" w:ascii="Times New Roman" w:hAnsi="Times New Roman"/>
          <w:sz w:val="26"/>
          <w:szCs w:val="26"/>
        </w:rPr>
        <w:t>74</w:t>
      </w:r>
      <w:r>
        <w:rPr>
          <w:rFonts w:eastAsia="Times New Roman" w:cs="Times New Roman" w:ascii="Times New Roman" w:hAnsi="Times New Roman"/>
          <w:sz w:val="26"/>
          <w:szCs w:val="26"/>
          <w:lang w:val="en-US"/>
        </w:rPr>
        <w:t>ru</w:t>
      </w:r>
      <w:r>
        <w:rPr>
          <w:rFonts w:eastAsia="Times New Roman" w:cs="Times New Roman" w:ascii="Times New Roman" w:hAnsi="Times New Roman"/>
          <w:sz w:val="26"/>
          <w:szCs w:val="26"/>
        </w:rPr>
        <w:t>/</w:t>
      </w:r>
      <w:r>
        <w:rPr>
          <w:rFonts w:eastAsia="Times New Roman" w:cs="Times New Roman" w:ascii="Times New Roman" w:hAnsi="Times New Roman"/>
          <w:sz w:val="26"/>
          <w:szCs w:val="26"/>
          <w:lang w:val="en-US"/>
        </w:rPr>
        <w:t>administraciya</w:t>
      </w:r>
      <w:r>
        <w:rPr>
          <w:rFonts w:eastAsia="Times New Roman" w:cs="Times New Roman" w:ascii="Times New Roman" w:hAnsi="Times New Roman"/>
          <w:sz w:val="26"/>
          <w:szCs w:val="26"/>
        </w:rPr>
        <w:t>/</w:t>
      </w:r>
      <w:r>
        <w:rPr>
          <w:rFonts w:eastAsia="Times New Roman" w:cs="Times New Roman" w:ascii="Times New Roman" w:hAnsi="Times New Roman"/>
          <w:sz w:val="26"/>
          <w:szCs w:val="26"/>
          <w:lang w:val="en-US"/>
        </w:rPr>
        <w:t>ocenka</w:t>
      </w:r>
      <w:r>
        <w:rPr>
          <w:rFonts w:eastAsia="Times New Roman" w:cs="Times New Roman" w:ascii="Times New Roman" w:hAnsi="Times New Roman"/>
          <w:sz w:val="26"/>
          <w:szCs w:val="26"/>
        </w:rPr>
        <w:t>_</w:t>
      </w:r>
      <w:r>
        <w:rPr>
          <w:rFonts w:eastAsia="Times New Roman" w:cs="Times New Roman" w:ascii="Times New Roman" w:hAnsi="Times New Roman"/>
          <w:sz w:val="26"/>
          <w:szCs w:val="26"/>
          <w:lang w:val="en-US"/>
        </w:rPr>
        <w:t>reguliruyuwego</w:t>
      </w:r>
      <w:r>
        <w:rPr>
          <w:rFonts w:eastAsia="Times New Roman" w:cs="Times New Roman" w:ascii="Times New Roman" w:hAnsi="Times New Roman"/>
          <w:sz w:val="26"/>
          <w:szCs w:val="26"/>
        </w:rPr>
        <w:t>_</w:t>
      </w:r>
      <w:r>
        <w:rPr>
          <w:rFonts w:eastAsia="Times New Roman" w:cs="Times New Roman" w:ascii="Times New Roman" w:hAnsi="Times New Roman"/>
          <w:sz w:val="26"/>
          <w:szCs w:val="26"/>
          <w:lang w:val="en-US"/>
        </w:rPr>
        <w:t>vozdeystviya</w:t>
      </w:r>
      <w:r>
        <w:rPr>
          <w:rFonts w:eastAsia="Times New Roman" w:cs="Times New Roman" w:ascii="Times New Roman" w:hAnsi="Times New Roman"/>
          <w:sz w:val="26"/>
          <w:szCs w:val="26"/>
        </w:rPr>
        <w:t>/</w:t>
      </w:r>
      <w:r>
        <w:rPr>
          <w:rFonts w:eastAsia="Times New Roman" w:cs="Times New Roman" w:ascii="Times New Roman" w:hAnsi="Times New Roman"/>
          <w:sz w:val="26"/>
          <w:szCs w:val="26"/>
          <w:lang w:val="en-US"/>
        </w:rPr>
        <w:t>zaklyucheniya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Приложение: свод предложений, поступивших в связи с проведением публичных консультаций по проекту нормативного правового акта, с указанием сведений об их учете или причинах отклонения.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Начальник отдела по торговле и услугам    _________            </w:t>
      </w:r>
      <w:r>
        <w:rPr>
          <w:rFonts w:eastAsia="Times New Roman" w:cs="Times New Roman" w:ascii="Times New Roman" w:hAnsi="Times New Roman"/>
          <w:sz w:val="28"/>
          <w:szCs w:val="28"/>
          <w:u w:val="single"/>
        </w:rPr>
        <w:t>Воробьева Е.А.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02. 08. 2024                                                                                           (подпись)                (расшифровка подписи)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65" w:hanging="40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d867f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3347e"/>
    <w:rPr>
      <w:color w:themeColor="hyperlink" w:val="0000FF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6e7994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d867f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tdeltorgovli@bk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26561-59E8-490B-808A-F8201D430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Application>LibreOffice/7.6.0.3$Linux_X86_64 LibreOffice_project/60$Build-3</Application>
  <AppVersion>15.0000</AppVersion>
  <Pages>5</Pages>
  <Words>1107</Words>
  <Characters>8596</Characters>
  <CharactersWithSpaces>9756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2016-07-11T09:54:00Z</dcterms:created>
  <dc:creator>Ренхе Ирина Анатольевна</dc:creator>
  <dc:description/>
  <dc:language>ru-RU</dc:language>
  <cp:lastModifiedBy/>
  <cp:lastPrinted>2024-08-02T09:23:21Z</cp:lastPrinted>
  <dcterms:modified xsi:type="dcterms:W3CDTF">2024-08-02T09:24:13Z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