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Отчет о проведении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оценки регулирующего воздействия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bCs/>
          <w:sz w:val="26"/>
          <w:szCs w:val="26"/>
        </w:rPr>
        <w:t>проекта постановления администрации Копейского городского округа «О внесении изменений и дополнений в постановление администрации Копейского городского округа от 30.12.2021 № 3076-п»</w:t>
      </w:r>
    </w:p>
    <w:tbl>
      <w:tblPr>
        <w:tblStyle w:val="a3"/>
        <w:tblW w:w="962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93"/>
        <w:gridCol w:w="8779"/>
        <w:gridCol w:w="51"/>
      </w:tblGrid>
      <w:tr>
        <w:trPr>
          <w:trHeight w:val="621" w:hRule="atLeast"/>
        </w:trPr>
        <w:tc>
          <w:tcPr>
            <w:tcW w:w="9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-142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-142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 Общая информация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793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1.1.</w:t>
            </w:r>
          </w:p>
        </w:tc>
        <w:tc>
          <w:tcPr>
            <w:tcW w:w="883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Орган исполнительной власти – разработчик проекта нормативного правового акта (далее - разработчик): 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отдел по инвестиционной политике, поддержке и развитию предпринимательства управления экономического развития администрации Копейского городского округа.</w:t>
            </w:r>
          </w:p>
        </w:tc>
      </w:tr>
      <w:tr>
        <w:trPr/>
        <w:tc>
          <w:tcPr>
            <w:tcW w:w="7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1.2.</w:t>
            </w:r>
          </w:p>
        </w:tc>
        <w:tc>
          <w:tcPr>
            <w:tcW w:w="883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Вид и наименование проекта нормативного правового акта: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6"/>
                <w:szCs w:val="26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i/>
                <w:kern w:val="0"/>
                <w:sz w:val="26"/>
                <w:szCs w:val="26"/>
                <w:lang w:val="ru-RU" w:eastAsia="en-US" w:bidi="ar-SA"/>
              </w:rPr>
              <w:t>проект постановления администрации Копейского городского округа «О внесении изменений и дополнений в постановление администрации Копейского городского округа от 30.12.2021 № 3076-п» (далее – проект постановления)</w:t>
            </w:r>
          </w:p>
        </w:tc>
      </w:tr>
      <w:tr>
        <w:trPr/>
        <w:tc>
          <w:tcPr>
            <w:tcW w:w="7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1.3.</w:t>
            </w:r>
          </w:p>
        </w:tc>
        <w:tc>
          <w:tcPr>
            <w:tcW w:w="883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Основание для разработки проекта нормативного правового акта: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 xml:space="preserve">Федеральный закон от 01.04.2020 № 381-ФЗ «Об основах государственного регулирования торговой деятельности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в Российской Федерации</w:t>
            </w: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 xml:space="preserve">» (далее –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381</w:t>
            </w: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 xml:space="preserve">-ФЗ);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постановление Правительства Челябинской области от 16.02.2011 № 31-П «О Положении о порядке организации ярмарок и продажи товаров на них и требованиях к организации продажи товаров (выполнению работ, оказанию услуг) на ярмарках на территории Челябинской области» (далее — постановление 31-П).</w:t>
            </w:r>
          </w:p>
        </w:tc>
      </w:tr>
      <w:tr>
        <w:trPr/>
        <w:tc>
          <w:tcPr>
            <w:tcW w:w="7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1.4.</w:t>
            </w:r>
          </w:p>
        </w:tc>
        <w:tc>
          <w:tcPr>
            <w:tcW w:w="883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Предполагаемая дата вступления в силу проекта акта</w:t>
            </w: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 xml:space="preserve">: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февраль</w:t>
            </w: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 xml:space="preserve"> 202</w:t>
            </w: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5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6"/>
                <w:szCs w:val="26"/>
                <w:lang w:val="ru-RU" w:eastAsia="ru-RU" w:bidi="ar-SA"/>
              </w:rPr>
              <w:t xml:space="preserve"> года</w:t>
            </w:r>
          </w:p>
        </w:tc>
      </w:tr>
      <w:tr>
        <w:trPr/>
        <w:tc>
          <w:tcPr>
            <w:tcW w:w="7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1.5.</w:t>
            </w:r>
          </w:p>
        </w:tc>
        <w:tc>
          <w:tcPr>
            <w:tcW w:w="883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Контактная информация исполнителя разработчика:</w:t>
            </w:r>
          </w:p>
        </w:tc>
      </w:tr>
      <w:tr>
        <w:trPr/>
        <w:tc>
          <w:tcPr>
            <w:tcW w:w="7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1.5.1.</w:t>
            </w:r>
          </w:p>
        </w:tc>
        <w:tc>
          <w:tcPr>
            <w:tcW w:w="883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Ф.И.О.: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Воробьева Елена Анатольевна</w:t>
            </w:r>
          </w:p>
        </w:tc>
      </w:tr>
      <w:tr>
        <w:trPr/>
        <w:tc>
          <w:tcPr>
            <w:tcW w:w="7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1.5.2.</w:t>
            </w:r>
          </w:p>
        </w:tc>
        <w:tc>
          <w:tcPr>
            <w:tcW w:w="883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Должность: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начальник отдела по инвестиционной политике, поддержке и развитию предпринимательства управления экономического развития администрации Копейского городского округа</w:t>
            </w:r>
          </w:p>
        </w:tc>
      </w:tr>
      <w:tr>
        <w:trPr/>
        <w:tc>
          <w:tcPr>
            <w:tcW w:w="7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1.5.3.</w:t>
            </w:r>
          </w:p>
        </w:tc>
        <w:tc>
          <w:tcPr>
            <w:tcW w:w="883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Тел:  8 (35139) 40-150</w:t>
            </w:r>
          </w:p>
        </w:tc>
      </w:tr>
      <w:tr>
        <w:trPr/>
        <w:tc>
          <w:tcPr>
            <w:tcW w:w="79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1.5.4.</w:t>
            </w:r>
          </w:p>
        </w:tc>
        <w:tc>
          <w:tcPr>
            <w:tcW w:w="883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 xml:space="preserve">Адрес электронной почты: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en-US" w:eastAsia="en-US" w:bidi="ar-SA"/>
              </w:rPr>
              <w:t>torg</w:t>
            </w: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@</w:t>
            </w: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en-US" w:eastAsia="en-US" w:bidi="ar-SA"/>
              </w:rPr>
              <w:t>akgo</w:t>
            </w: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74.</w:t>
            </w: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en-US" w:eastAsia="en-US" w:bidi="ar-SA"/>
              </w:rPr>
              <w:t>ru</w:t>
            </w:r>
          </w:p>
        </w:tc>
      </w:tr>
    </w:tbl>
    <w:p>
      <w:pPr>
        <w:pStyle w:val="ListParagraph"/>
        <w:ind w:left="-14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ListParagraph"/>
        <w:ind w:left="-14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 Степень регулирующего воздействия положений проекта акта</w:t>
      </w:r>
    </w:p>
    <w:tbl>
      <w:tblPr>
        <w:tblStyle w:val="a3"/>
        <w:tblW w:w="960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99"/>
        <w:gridCol w:w="7174"/>
        <w:gridCol w:w="1532"/>
      </w:tblGrid>
      <w:tr>
        <w:trPr/>
        <w:tc>
          <w:tcPr>
            <w:tcW w:w="89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2.1.</w:t>
            </w:r>
          </w:p>
        </w:tc>
        <w:tc>
          <w:tcPr>
            <w:tcW w:w="717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Степень регулирующего воздействия положений проекта акта:</w:t>
            </w:r>
          </w:p>
        </w:tc>
        <w:tc>
          <w:tcPr>
            <w:tcW w:w="1532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низкая</w:t>
            </w:r>
          </w:p>
        </w:tc>
      </w:tr>
      <w:tr>
        <w:trPr/>
        <w:tc>
          <w:tcPr>
            <w:tcW w:w="89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2.2.</w:t>
            </w:r>
          </w:p>
        </w:tc>
        <w:tc>
          <w:tcPr>
            <w:tcW w:w="8706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Обоснование отнесения к определенной степени регулирующего воздействия: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Проектом постановления определен</w:t>
            </w: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а методика расчета платы за использование ярмарочной площадки.</w:t>
            </w: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 xml:space="preserve"> </w:t>
            </w:r>
          </w:p>
        </w:tc>
      </w:tr>
    </w:tbl>
    <w:p>
      <w:pPr>
        <w:pStyle w:val="ListParagrap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ListParagraph"/>
        <w:spacing w:lineRule="auto" w:line="240"/>
        <w:ind w:left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 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</w:t>
      </w:r>
    </w:p>
    <w:tbl>
      <w:tblPr>
        <w:tblStyle w:val="a3"/>
        <w:tblW w:w="975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51"/>
        <w:gridCol w:w="8899"/>
      </w:tblGrid>
      <w:tr>
        <w:trPr/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3.1.</w:t>
            </w:r>
          </w:p>
        </w:tc>
        <w:tc>
          <w:tcPr>
            <w:tcW w:w="8899" w:type="dxa"/>
            <w:tcBorders/>
          </w:tcPr>
          <w:p>
            <w:pPr>
              <w:pStyle w:val="NormalWeb"/>
              <w:widowControl/>
              <w:shd w:val="clear" w:color="auto" w:fill="FFFFFF"/>
              <w:suppressAutoHyphens w:val="true"/>
              <w:spacing w:beforeAutospacing="0" w:before="0" w:afterAutospacing="0" w:after="0"/>
              <w:ind w:firstLine="17"/>
              <w:jc w:val="both"/>
              <w:rPr>
                <w:sz w:val="26"/>
                <w:szCs w:val="26"/>
              </w:rPr>
            </w:pPr>
            <w:r>
              <w:rPr>
                <w:kern w:val="0"/>
                <w:sz w:val="26"/>
                <w:szCs w:val="26"/>
                <w:lang w:val="ru-RU" w:bidi="ar-SA"/>
              </w:rPr>
              <w:t>Описание проблемы, на решение которой направлен предлагаемый способ регулирования, условий и факторов ее существования: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bidi w:val="0"/>
              <w:spacing w:lineRule="auto" w:line="240" w:before="0" w:after="0"/>
              <w:ind w:firstLine="283" w:left="227" w:right="227"/>
              <w:contextualSpacing/>
              <w:jc w:val="both"/>
              <w:rPr>
                <w:rFonts w:ascii="Times New Roman" w:hAnsi="Times New Roman" w:eastAsia="Times New Roman"/>
                <w:i/>
                <w:i/>
                <w:sz w:val="26"/>
                <w:szCs w:val="26"/>
              </w:rPr>
            </w:pPr>
            <w:r>
              <w:rPr>
                <w:rFonts w:eastAsia="Times New Roman" w:cs="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отсутствие методика расчета платы за использование ярмарочной площадки;</w:t>
            </w:r>
          </w:p>
          <w:p>
            <w:pPr>
              <w:pStyle w:val="Normal"/>
              <w:widowControl/>
              <w:numPr>
                <w:ilvl w:val="0"/>
                <w:numId w:val="8"/>
              </w:numPr>
              <w:tabs>
                <w:tab w:val="clear" w:pos="708"/>
                <w:tab w:val="left" w:pos="0" w:leader="none"/>
              </w:tabs>
              <w:suppressAutoHyphens w:val="true"/>
              <w:bidi w:val="0"/>
              <w:spacing w:lineRule="auto" w:line="240" w:before="0" w:after="0"/>
              <w:ind w:firstLine="397" w:left="113" w:right="113"/>
              <w:contextualSpacing/>
              <w:jc w:val="both"/>
              <w:rPr>
                <w:rFonts w:ascii="Times New Roman" w:hAnsi="Times New Roman" w:eastAsia="Times New Roman" w:cs="Times New Roman"/>
                <w:i/>
                <w:i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расширение возможностей сбыта продукции отечественных производителей товаров, увеличение доходов и роста благосостояния граждан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;</w:t>
            </w:r>
          </w:p>
          <w:p>
            <w:pPr>
              <w:pStyle w:val="Normal"/>
              <w:widowControl/>
              <w:numPr>
                <w:ilvl w:val="0"/>
                <w:numId w:val="9"/>
              </w:numPr>
              <w:tabs>
                <w:tab w:val="clear" w:pos="708"/>
                <w:tab w:val="left" w:pos="0" w:leader="none"/>
              </w:tabs>
              <w:suppressAutoHyphens w:val="true"/>
              <w:bidi w:val="0"/>
              <w:spacing w:lineRule="auto" w:line="240" w:before="0" w:after="0"/>
              <w:ind w:firstLine="397" w:left="113" w:right="113"/>
              <w:contextualSpacing/>
              <w:jc w:val="both"/>
              <w:rPr>
                <w:rFonts w:ascii="Times New Roman" w:hAnsi="Times New Roman" w:eastAsia="Times New Roman" w:cs="Times New Roman"/>
                <w:i/>
                <w:i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 xml:space="preserve">возможность 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предоставлять ярмарочные площадки для организации ярмарок индивидуальным предпринимателям и юридическим лицам.</w:t>
            </w:r>
          </w:p>
        </w:tc>
      </w:tr>
      <w:tr>
        <w:trPr/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3.2.</w:t>
            </w:r>
          </w:p>
        </w:tc>
        <w:tc>
          <w:tcPr>
            <w:tcW w:w="889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Негативные эффекты, возникающие в связи с наличием проблемы: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426"/>
              <w:jc w:val="both"/>
              <w:rPr>
                <w:rFonts w:ascii="Times New Roman" w:hAnsi="Times New Roman" w:eastAsia="Times New Roman" w:cs="Times New Roman"/>
                <w:i/>
                <w:i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 xml:space="preserve">1) 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 xml:space="preserve">отсутствие 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возможност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и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 xml:space="preserve"> предоставлять ярмарочные площадки для организации ярмарок индивидуальным предпринимателям и юридическим лицам.</w:t>
            </w:r>
          </w:p>
        </w:tc>
      </w:tr>
      <w:tr>
        <w:trPr/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3.3.</w:t>
            </w:r>
          </w:p>
        </w:tc>
        <w:tc>
          <w:tcPr>
            <w:tcW w:w="889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Информация о возникновении, выявлении проблемы и мерах, принятых ранее для ее решения, достигнутых результатах и затраченных ресурсах: </w:t>
            </w:r>
            <w:r>
              <w:rPr>
                <w:rFonts w:eastAsia="Calibri" w:cs="Times New Roman" w:ascii="Times New Roman" w:hAnsi="Times New Roman"/>
                <w:i/>
                <w:iCs/>
                <w:kern w:val="0"/>
                <w:sz w:val="26"/>
                <w:szCs w:val="26"/>
                <w:lang w:val="ru-RU" w:eastAsia="en-US" w:bidi="ar-SA"/>
              </w:rPr>
              <w:t>поступившее в администрацию Копейского городского округа заявление на организацию ярмарки от Межрегионального центра поддержки сельхозпроизводителей.</w:t>
            </w:r>
          </w:p>
        </w:tc>
      </w:tr>
      <w:tr>
        <w:trPr/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3.4.</w:t>
            </w:r>
          </w:p>
        </w:tc>
        <w:tc>
          <w:tcPr>
            <w:tcW w:w="889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условий, при которых проблема может быть решена в целом без вмешательства со стороны органов местного самоуправления: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 xml:space="preserve">проблема не может быть решена без вмешательства органа местного самоуправления, так как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ярмарочные площадки находятся в распоряжении муниципального образования «Копейский городской округ».</w:t>
            </w:r>
          </w:p>
        </w:tc>
      </w:tr>
      <w:tr>
        <w:trPr/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3.5.</w:t>
            </w:r>
          </w:p>
        </w:tc>
        <w:tc>
          <w:tcPr>
            <w:tcW w:w="8899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8532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Источники данных:</w:t>
            </w:r>
          </w:p>
          <w:p>
            <w:pPr>
              <w:pStyle w:val="Normal"/>
              <w:widowControl/>
              <w:tabs>
                <w:tab w:val="clear" w:pos="708"/>
                <w:tab w:val="right" w:pos="8532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iCs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Анализ опыта иных муниципальных образований.</w:t>
            </w:r>
          </w:p>
        </w:tc>
      </w:tr>
    </w:tbl>
    <w:p>
      <w:pPr>
        <w:pStyle w:val="ListParagraph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ListParagraph"/>
        <w:ind w:left="-14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4.Цели регулирования</w:t>
      </w:r>
    </w:p>
    <w:p>
      <w:pPr>
        <w:pStyle w:val="ListParagraph"/>
        <w:spacing w:before="0"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Style w:val="a3"/>
        <w:tblW w:w="979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228"/>
        <w:gridCol w:w="4567"/>
      </w:tblGrid>
      <w:tr>
        <w:trPr>
          <w:trHeight w:val="838" w:hRule="atLeast"/>
        </w:trPr>
        <w:tc>
          <w:tcPr>
            <w:tcW w:w="522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4.1. Описание целей предлагаемого регулирования, их соотношение с проблемой:</w:t>
            </w:r>
          </w:p>
        </w:tc>
        <w:tc>
          <w:tcPr>
            <w:tcW w:w="4567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-108" w:right="-108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4.2. Установленные сроки достижения                                               целей предполагаемого регулирования:</w:t>
            </w:r>
          </w:p>
        </w:tc>
      </w:tr>
      <w:tr>
        <w:trPr>
          <w:trHeight w:val="838" w:hRule="atLeast"/>
        </w:trPr>
        <w:tc>
          <w:tcPr>
            <w:tcW w:w="5228" w:type="dxa"/>
            <w:tcBorders/>
          </w:tcPr>
          <w:p>
            <w:pPr>
              <w:pStyle w:val="ListParagraph"/>
              <w:widowControl/>
              <w:numPr>
                <w:ilvl w:val="0"/>
                <w:numId w:val="3"/>
              </w:numPr>
              <w:suppressAutoHyphens w:val="true"/>
              <w:spacing w:lineRule="auto" w:line="240" w:before="0" w:after="0"/>
              <w:ind w:firstLine="360" w:left="0"/>
              <w:contextualSpacing/>
              <w:jc w:val="both"/>
              <w:rPr>
                <w:rFonts w:ascii="Times New Roman" w:hAnsi="Times New Roman" w:cs="Times New Roman"/>
                <w:i/>
                <w:i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Возможность предоставления индивидуальным предпринимателям и юридическим лицам ярмарочной площадки</w:t>
            </w:r>
          </w:p>
        </w:tc>
        <w:tc>
          <w:tcPr>
            <w:tcW w:w="4567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08"/>
              <w:contextualSpacing/>
              <w:jc w:val="both"/>
              <w:rPr>
                <w:rFonts w:ascii="Times New Roman" w:hAnsi="Times New Roman" w:cs="Times New Roman"/>
                <w:i/>
                <w:i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После утверждения НПА на постоянной основе</w:t>
            </w:r>
            <w:bookmarkStart w:id="0" w:name="_GoBack"/>
            <w:bookmarkEnd w:id="0"/>
          </w:p>
        </w:tc>
      </w:tr>
      <w:tr>
        <w:trPr>
          <w:trHeight w:val="838" w:hRule="atLeast"/>
        </w:trPr>
        <w:tc>
          <w:tcPr>
            <w:tcW w:w="5228" w:type="dxa"/>
            <w:tcBorders/>
          </w:tcPr>
          <w:p>
            <w:pPr>
              <w:pStyle w:val="ListParagraph"/>
              <w:widowControl/>
              <w:numPr>
                <w:ilvl w:val="0"/>
                <w:numId w:val="3"/>
              </w:numPr>
              <w:suppressAutoHyphens w:val="true"/>
              <w:spacing w:lineRule="auto" w:line="240" w:before="0" w:after="0"/>
              <w:ind w:firstLine="342" w:left="18"/>
              <w:contextualSpacing/>
              <w:jc w:val="both"/>
              <w:rPr>
                <w:rFonts w:ascii="Times New Roman" w:hAnsi="Times New Roman" w:cs="Times New Roman"/>
                <w:i/>
                <w:i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расширение возможностей сбыта продукции отечественных производителей товаров, увеличение доходов и роста благосостояния граждан</w:t>
            </w:r>
          </w:p>
        </w:tc>
        <w:tc>
          <w:tcPr>
            <w:tcW w:w="4567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08"/>
              <w:contextualSpacing/>
              <w:jc w:val="both"/>
              <w:rPr>
                <w:rFonts w:ascii="Times New Roman" w:hAnsi="Times New Roman" w:cs="Times New Roman"/>
                <w:i/>
                <w:i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на постоянной основе после принятия НПА</w:t>
            </w:r>
          </w:p>
        </w:tc>
      </w:tr>
    </w:tbl>
    <w:p>
      <w:pPr>
        <w:pStyle w:val="ListParagraph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ListParagraph"/>
        <w:ind w:left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5. Описание предлагаемого регулирования и иных возможных способов решения проблемы</w:t>
      </w:r>
    </w:p>
    <w:tbl>
      <w:tblPr>
        <w:tblStyle w:val="a3"/>
        <w:tblW w:w="976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008"/>
        <w:gridCol w:w="8754"/>
      </w:tblGrid>
      <w:tr>
        <w:trPr/>
        <w:tc>
          <w:tcPr>
            <w:tcW w:w="1008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5.1.</w:t>
            </w:r>
          </w:p>
        </w:tc>
        <w:tc>
          <w:tcPr>
            <w:tcW w:w="875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предлагаемого способа решения проблемы и преодоление связанных  с ней негативных эффектов: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i/>
                <w:i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–</w:t>
            </w: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наличие Методика расчета платы позволит предоставить ярмарочную площадку целиком организатору ярмарки.</w:t>
            </w:r>
          </w:p>
        </w:tc>
      </w:tr>
      <w:tr>
        <w:trPr/>
        <w:tc>
          <w:tcPr>
            <w:tcW w:w="1008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5.2.</w:t>
            </w:r>
          </w:p>
        </w:tc>
        <w:tc>
          <w:tcPr>
            <w:tcW w:w="875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иных способов решения проблемы (с указанием того, каким образом каждым из способов могла бы быть решена проблема):</w:t>
            </w: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 xml:space="preserve"> иные варианты решения проблемы отсутствуют.</w:t>
            </w:r>
          </w:p>
        </w:tc>
      </w:tr>
      <w:tr>
        <w:trPr/>
        <w:tc>
          <w:tcPr>
            <w:tcW w:w="1008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5.3.</w:t>
            </w:r>
          </w:p>
        </w:tc>
        <w:tc>
          <w:tcPr>
            <w:tcW w:w="875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Обоснование выбора предлагаемого способа решения проблемы</w:t>
            </w: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: предлагаемый вариант решения проблемы выбран в соответствии с законодательством.</w:t>
            </w:r>
          </w:p>
        </w:tc>
      </w:tr>
      <w:tr>
        <w:trPr/>
        <w:tc>
          <w:tcPr>
            <w:tcW w:w="1008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5.4.</w:t>
            </w:r>
          </w:p>
        </w:tc>
        <w:tc>
          <w:tcPr>
            <w:tcW w:w="875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i/>
                <w:i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Иная информация о предлагаемом способе решения проблемы: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отсутствует</w:t>
            </w:r>
          </w:p>
        </w:tc>
      </w:tr>
    </w:tbl>
    <w:p>
      <w:pPr>
        <w:pStyle w:val="ListParagraph"/>
        <w:ind w:hanging="142" w:left="14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ListParagraph"/>
        <w:spacing w:lineRule="auto" w:line="240"/>
        <w:ind w:hanging="142" w:left="14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6. Основные группы субъектов предпринимательской и иной экономической деятельности, иные заинтересованные лица, включая органы государственной власти, интересы которых будут затронуты предлагаемым правовым регулированием, оценка количества таких субъектов</w:t>
      </w:r>
    </w:p>
    <w:p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a3"/>
        <w:tblW w:w="992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06"/>
        <w:gridCol w:w="5078"/>
        <w:gridCol w:w="4235"/>
      </w:tblGrid>
      <w:tr>
        <w:trPr/>
        <w:tc>
          <w:tcPr>
            <w:tcW w:w="5684" w:type="dxa"/>
            <w:gridSpan w:val="2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6.1. Группа участников отношений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4235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6.2. Оценка количества участников отношений</w:t>
            </w:r>
          </w:p>
        </w:tc>
      </w:tr>
      <w:tr>
        <w:trPr/>
        <w:tc>
          <w:tcPr>
            <w:tcW w:w="5684" w:type="dxa"/>
            <w:gridSpan w:val="2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 w:eastAsia="Times New Roman" w:cs="Times New Roman"/>
                <w:i/>
                <w:i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6"/>
                <w:szCs w:val="26"/>
                <w:lang w:val="ru-RU" w:eastAsia="ru-RU" w:bidi="ar-SA"/>
              </w:rPr>
              <w:t>Индивидуальные предприниматели,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6"/>
                <w:szCs w:val="26"/>
                <w:lang w:val="ru-RU" w:eastAsia="ru-RU" w:bidi="ar-SA"/>
              </w:rPr>
              <w:t xml:space="preserve"> юридическ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6"/>
                <w:szCs w:val="26"/>
                <w:lang w:val="ru-RU" w:eastAsia="ru-RU" w:bidi="ar-SA"/>
              </w:rPr>
              <w:t>ие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6"/>
                <w:szCs w:val="26"/>
                <w:lang w:val="ru-RU" w:eastAsia="ru-RU" w:bidi="ar-SA"/>
              </w:rPr>
              <w:t xml:space="preserve"> лиц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6"/>
                <w:szCs w:val="26"/>
                <w:lang w:val="ru-RU" w:eastAsia="ru-RU" w:bidi="ar-SA"/>
              </w:rPr>
              <w:t>а.</w:t>
            </w:r>
          </w:p>
        </w:tc>
        <w:tc>
          <w:tcPr>
            <w:tcW w:w="4235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 xml:space="preserve">По мере поступления заявлений на 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>организацию ярмарки на ярмарочных площадках, находящихся в распоряжении муниципального образования «Копейский городской округ»</w:t>
            </w:r>
          </w:p>
        </w:tc>
      </w:tr>
      <w:tr>
        <w:trPr/>
        <w:tc>
          <w:tcPr>
            <w:tcW w:w="5684" w:type="dxa"/>
            <w:gridSpan w:val="2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 w:eastAsia="Times New Roman" w:cs="Times New Roman"/>
                <w:i/>
                <w:i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6"/>
                <w:szCs w:val="26"/>
                <w:lang w:val="ru-RU" w:eastAsia="ru-RU" w:bidi="ar-SA"/>
              </w:rPr>
              <w:t>Администрация Копейского городского округа</w:t>
            </w:r>
          </w:p>
        </w:tc>
        <w:tc>
          <w:tcPr>
            <w:tcW w:w="4235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 w:eastAsia="Times New Roman" w:cs="Times New Roman"/>
                <w:i/>
                <w:i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6"/>
                <w:szCs w:val="26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606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6.3.</w:t>
            </w:r>
          </w:p>
        </w:tc>
        <w:tc>
          <w:tcPr>
            <w:tcW w:w="9313" w:type="dxa"/>
            <w:gridSpan w:val="2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Источники данных: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6"/>
                <w:szCs w:val="26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6"/>
                <w:szCs w:val="26"/>
                <w:lang w:val="ru-RU" w:eastAsia="ru-RU" w:bidi="ar-SA"/>
              </w:rPr>
              <w:t xml:space="preserve">поступающие заявления </w:t>
            </w:r>
          </w:p>
        </w:tc>
      </w:tr>
    </w:tbl>
    <w:p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spacing w:lineRule="auto" w:line="240"/>
        <w:ind w:left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7. Новые, изменяемые и отменяемые функции, полномочия, обязанности и права областных органов и органов местного самоуправления, а также порядок их реализации</w:t>
      </w:r>
    </w:p>
    <w:tbl>
      <w:tblPr>
        <w:tblStyle w:val="a3"/>
        <w:tblW w:w="979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865"/>
        <w:gridCol w:w="3669"/>
        <w:gridCol w:w="3261"/>
      </w:tblGrid>
      <w:tr>
        <w:trPr/>
        <w:tc>
          <w:tcPr>
            <w:tcW w:w="2865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7.1.</w:t>
            </w:r>
          </w:p>
        </w:tc>
        <w:tc>
          <w:tcPr>
            <w:tcW w:w="3669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7.2.</w:t>
            </w:r>
          </w:p>
        </w:tc>
        <w:tc>
          <w:tcPr>
            <w:tcW w:w="3261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7.3.</w:t>
            </w:r>
          </w:p>
        </w:tc>
      </w:tr>
      <w:tr>
        <w:trPr/>
        <w:tc>
          <w:tcPr>
            <w:tcW w:w="2865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Наименование новых или изменения существующих функций, полномочий, обязанностей или прав</w:t>
            </w:r>
          </w:p>
        </w:tc>
        <w:tc>
          <w:tcPr>
            <w:tcW w:w="3669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Порядок реализации</w:t>
            </w:r>
          </w:p>
        </w:tc>
        <w:tc>
          <w:tcPr>
            <w:tcW w:w="3261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Оценка изменения трудозатрат и потребностей в иных ресурсах</w:t>
            </w:r>
          </w:p>
        </w:tc>
      </w:tr>
      <w:tr>
        <w:trPr/>
        <w:tc>
          <w:tcPr>
            <w:tcW w:w="286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Установлена плата за использование ярмарочной площадки</w:t>
            </w:r>
          </w:p>
        </w:tc>
        <w:tc>
          <w:tcPr>
            <w:tcW w:w="3669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eastAsia="Times New Roman" w:cs="Times New Roman"/>
                <w:i/>
                <w:i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6"/>
                <w:szCs w:val="26"/>
                <w:lang w:val="ru-RU" w:eastAsia="ru-RU" w:bidi="ar-SA"/>
              </w:rPr>
              <w:t>Согласно утвержденно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6"/>
                <w:szCs w:val="26"/>
                <w:lang w:val="ru-RU" w:eastAsia="ru-RU" w:bidi="ar-SA"/>
              </w:rPr>
              <w:t>й Методики расчета платы</w:t>
            </w:r>
          </w:p>
        </w:tc>
        <w:tc>
          <w:tcPr>
            <w:tcW w:w="3261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 w:eastAsia="Times New Roman" w:cs="Times New Roman"/>
                <w:i/>
                <w:i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6"/>
                <w:szCs w:val="26"/>
                <w:lang w:val="ru-RU" w:eastAsia="ru-RU" w:bidi="ar-SA"/>
              </w:rPr>
              <w:t>Трудозатраты и потребности в иных ресурсах отсутствуют</w:t>
            </w:r>
          </w:p>
        </w:tc>
      </w:tr>
    </w:tbl>
    <w:p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ind w:hanging="142" w:left="14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8. Оценка соответствующих расходов (возможных поступлений) бюджетов бюджетной </w:t>
        <w:br/>
        <w:t>системы Российской Федерации</w:t>
      </w:r>
    </w:p>
    <w:p>
      <w:pPr>
        <w:pStyle w:val="ListParagraph"/>
        <w:spacing w:lineRule="auto" w:line="240" w:before="0" w:after="0"/>
        <w:ind w:firstLine="720" w:left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Принятие нормативного правового акта выделения дополнительных ассигнований за счет средств бюджета городского округа не потребует. Расходы, связанные с опубликованием постановления, предусмотрены бюджетом городского округа.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Увеличение доходов в местный бюджет за счет оплаты </w:t>
      </w:r>
      <w:r>
        <w:rPr>
          <w:rFonts w:eastAsia="Times New Roman" w:cs="Times New Roman" w:ascii="Times New Roman" w:hAnsi="Times New Roman"/>
          <w:sz w:val="26"/>
          <w:szCs w:val="26"/>
        </w:rPr>
        <w:t>организаторами ярмарок ярмарочных площадок.</w:t>
      </w:r>
      <w:r>
        <w:rPr>
          <w:rFonts w:eastAsia="Times New Roman" w:cs="Times New Roman" w:ascii="Times New Roman" w:hAnsi="Times New Roman"/>
          <w:sz w:val="26"/>
          <w:szCs w:val="26"/>
        </w:rPr>
        <w:t>.</w:t>
      </w:r>
    </w:p>
    <w:p>
      <w:pPr>
        <w:pStyle w:val="ListParagraph"/>
        <w:spacing w:lineRule="auto" w:line="240" w:before="0" w:after="0"/>
        <w:ind w:firstLine="720" w:left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9. Новые преимущества, а также обязанности для субъектов предпринимательской и иной деятельности или изменение содержания существующих обязанностей, а также порядок организации их исполнения</w:t>
      </w:r>
    </w:p>
    <w:tbl>
      <w:tblPr>
        <w:tblStyle w:val="a3"/>
        <w:tblW w:w="1003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464"/>
        <w:gridCol w:w="3536"/>
        <w:gridCol w:w="4030"/>
      </w:tblGrid>
      <w:tr>
        <w:trPr/>
        <w:tc>
          <w:tcPr>
            <w:tcW w:w="246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9.1 Группа участников отношений</w:t>
            </w:r>
          </w:p>
        </w:tc>
        <w:tc>
          <w:tcPr>
            <w:tcW w:w="3536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9.2 Описание новых преимуществ и обязанностей или изменения содержания существующих обязанностей</w:t>
            </w:r>
          </w:p>
        </w:tc>
        <w:tc>
          <w:tcPr>
            <w:tcW w:w="4030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9.3 Порядок организации исполнения обязанностей</w:t>
            </w:r>
          </w:p>
        </w:tc>
      </w:tr>
      <w:tr>
        <w:trPr>
          <w:trHeight w:val="361" w:hRule="atLeast"/>
        </w:trPr>
        <w:tc>
          <w:tcPr>
            <w:tcW w:w="2464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>Индивидуальные предприниматели, юридические лица.</w:t>
            </w:r>
          </w:p>
        </w:tc>
        <w:tc>
          <w:tcPr>
            <w:tcW w:w="35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 xml:space="preserve">Обязанность: 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>оплата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 xml:space="preserve"> ярмарочной площадки 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>при ее использовании</w:t>
            </w:r>
          </w:p>
        </w:tc>
        <w:tc>
          <w:tcPr>
            <w:tcW w:w="4030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>Своевременная оплата по предоставленным реквизитам</w:t>
            </w:r>
          </w:p>
        </w:tc>
      </w:tr>
    </w:tbl>
    <w:p>
      <w:pPr>
        <w:pStyle w:val="ListParagraph"/>
        <w:spacing w:lineRule="auto" w:line="240"/>
        <w:ind w:left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10. Оценка расходов и доходов субъектов предпринимательской и иной экономической деятельности, связанных с необходимостью соблюдения установленных обязанностей либо изменением содержания таких обязанностей и ограничений</w:t>
      </w:r>
    </w:p>
    <w:p>
      <w:pPr>
        <w:pStyle w:val="Normal"/>
        <w:spacing w:lineRule="auto" w:line="240" w:before="0" w:after="0"/>
        <w:ind w:firstLine="709"/>
        <w:jc w:val="both"/>
        <w:rPr>
          <w:i/>
          <w:i/>
          <w:iCs/>
        </w:rPr>
      </w:pPr>
      <w:r>
        <w:rPr>
          <w:rFonts w:cs="Times New Roman" w:ascii="Times New Roman" w:hAnsi="Times New Roman"/>
          <w:i/>
          <w:iCs/>
          <w:sz w:val="26"/>
          <w:szCs w:val="26"/>
        </w:rPr>
        <w:t>Дополнительн</w:t>
      </w:r>
      <w:r>
        <w:rPr>
          <w:rFonts w:cs="Times New Roman" w:ascii="Times New Roman" w:hAnsi="Times New Roman"/>
          <w:i/>
          <w:iCs/>
          <w:sz w:val="26"/>
          <w:szCs w:val="26"/>
        </w:rPr>
        <w:t>ые</w:t>
      </w:r>
      <w:r>
        <w:rPr>
          <w:rFonts w:cs="Times New Roman" w:ascii="Times New Roman" w:hAnsi="Times New Roman"/>
          <w:i/>
          <w:iCs/>
          <w:sz w:val="26"/>
          <w:szCs w:val="26"/>
        </w:rPr>
        <w:t xml:space="preserve"> расход</w:t>
      </w:r>
      <w:r>
        <w:rPr>
          <w:rFonts w:cs="Times New Roman" w:ascii="Times New Roman" w:hAnsi="Times New Roman"/>
          <w:i/>
          <w:iCs/>
          <w:sz w:val="26"/>
          <w:szCs w:val="26"/>
        </w:rPr>
        <w:t>ы</w:t>
      </w:r>
      <w:r>
        <w:rPr>
          <w:rFonts w:cs="Times New Roman" w:ascii="Times New Roman" w:hAnsi="Times New Roman"/>
          <w:i/>
          <w:iCs/>
          <w:sz w:val="26"/>
          <w:szCs w:val="26"/>
        </w:rPr>
        <w:t xml:space="preserve"> для хозяйствующих субъектов </w:t>
      </w:r>
      <w:r>
        <w:rPr>
          <w:rFonts w:cs="Times New Roman" w:ascii="Times New Roman" w:hAnsi="Times New Roman"/>
          <w:i/>
          <w:iCs/>
          <w:sz w:val="26"/>
          <w:szCs w:val="26"/>
        </w:rPr>
        <w:t>связаны с необходимостью оплаты ярмарочной площадки при ее использовании. Доходы от полученной платы за торговое место от участников ярмарки.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</w:r>
    </w:p>
    <w:p>
      <w:pPr>
        <w:pStyle w:val="ListParagraph"/>
        <w:spacing w:lineRule="auto" w:line="240"/>
        <w:ind w:left="-14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11. Риски решения проблемы предложенным способом регулирования и риски негативных последствий, а также описание методов контроля эффективности избранного способа достижения цели регулирования</w:t>
      </w:r>
    </w:p>
    <w:tbl>
      <w:tblPr>
        <w:tblStyle w:val="a3"/>
        <w:tblW w:w="975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751"/>
        <w:gridCol w:w="2355"/>
        <w:gridCol w:w="2392"/>
        <w:gridCol w:w="2252"/>
      </w:tblGrid>
      <w:tr>
        <w:trPr/>
        <w:tc>
          <w:tcPr>
            <w:tcW w:w="2751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11.1.</w:t>
            </w:r>
          </w:p>
        </w:tc>
        <w:tc>
          <w:tcPr>
            <w:tcW w:w="2355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11.2.</w:t>
            </w:r>
          </w:p>
        </w:tc>
        <w:tc>
          <w:tcPr>
            <w:tcW w:w="2392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11.3.</w:t>
            </w:r>
          </w:p>
        </w:tc>
        <w:tc>
          <w:tcPr>
            <w:tcW w:w="2252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11.4.</w:t>
            </w:r>
          </w:p>
        </w:tc>
      </w:tr>
      <w:tr>
        <w:trPr/>
        <w:tc>
          <w:tcPr>
            <w:tcW w:w="2751" w:type="dxa"/>
            <w:tcBorders/>
          </w:tcPr>
          <w:p>
            <w:pPr>
              <w:pStyle w:val="Title"/>
              <w:keepNext w:val="false"/>
              <w:widowControl/>
              <w:suppressAutoHyphens w:val="true"/>
              <w:ind w:hanging="1" w:left="34"/>
              <w:jc w:val="center"/>
              <w:rPr>
                <w:rFonts w:eastAsia="Calibri" w:eastAsiaTheme="minorHAnsi"/>
                <w:b w:val="false"/>
                <w:kern w:val="0"/>
                <w:sz w:val="26"/>
                <w:szCs w:val="26"/>
              </w:rPr>
            </w:pPr>
            <w:r>
              <w:rPr>
                <w:rFonts w:eastAsia="Calibri" w:eastAsiaTheme="minorHAnsi"/>
                <w:b w:val="false"/>
                <w:kern w:val="0"/>
                <w:sz w:val="26"/>
                <w:szCs w:val="26"/>
                <w:lang w:val="ru-RU" w:eastAsia="en-US" w:bidi="ar-SA"/>
              </w:rPr>
              <w:t>Основные риски решения проблемы предложенным способом и риски негативных последствий</w:t>
            </w:r>
          </w:p>
        </w:tc>
        <w:tc>
          <w:tcPr>
            <w:tcW w:w="2355" w:type="dxa"/>
            <w:tcBorders/>
          </w:tcPr>
          <w:p>
            <w:pPr>
              <w:pStyle w:val="Title"/>
              <w:keepNext w:val="false"/>
              <w:widowControl/>
              <w:suppressAutoHyphens w:val="true"/>
              <w:ind w:hanging="1" w:left="34"/>
              <w:jc w:val="center"/>
              <w:rPr>
                <w:rFonts w:eastAsia="Calibri" w:eastAsiaTheme="minorHAnsi"/>
                <w:b w:val="false"/>
                <w:kern w:val="0"/>
                <w:sz w:val="26"/>
                <w:szCs w:val="26"/>
              </w:rPr>
            </w:pPr>
            <w:r>
              <w:rPr>
                <w:rFonts w:eastAsia="Calibri" w:eastAsiaTheme="minorHAnsi"/>
                <w:b w:val="false"/>
                <w:kern w:val="0"/>
                <w:sz w:val="26"/>
                <w:szCs w:val="26"/>
                <w:lang w:val="ru-RU" w:eastAsia="en-US" w:bidi="ar-SA"/>
              </w:rPr>
              <w:t>Оценки вероятности наступления рисков</w:t>
            </w:r>
          </w:p>
        </w:tc>
        <w:tc>
          <w:tcPr>
            <w:tcW w:w="2392" w:type="dxa"/>
            <w:tcBorders/>
          </w:tcPr>
          <w:p>
            <w:pPr>
              <w:pStyle w:val="Title"/>
              <w:keepNext w:val="false"/>
              <w:widowControl/>
              <w:suppressAutoHyphens w:val="true"/>
              <w:ind w:hanging="1" w:left="34"/>
              <w:jc w:val="center"/>
              <w:rPr>
                <w:rFonts w:eastAsia="Calibri" w:eastAsiaTheme="minorHAnsi"/>
                <w:b w:val="false"/>
                <w:kern w:val="0"/>
                <w:sz w:val="26"/>
                <w:szCs w:val="26"/>
              </w:rPr>
            </w:pPr>
            <w:r>
              <w:rPr>
                <w:rFonts w:eastAsia="Calibri" w:eastAsiaTheme="minorHAnsi"/>
                <w:b w:val="false"/>
                <w:kern w:val="0"/>
                <w:sz w:val="26"/>
                <w:szCs w:val="26"/>
                <w:lang w:val="ru-RU" w:eastAsia="en-US" w:bidi="ar-SA"/>
              </w:rPr>
              <w:t>Методы контроля эффективности достижения цели по рискам</w:t>
            </w:r>
          </w:p>
        </w:tc>
        <w:tc>
          <w:tcPr>
            <w:tcW w:w="2252" w:type="dxa"/>
            <w:tcBorders/>
          </w:tcPr>
          <w:p>
            <w:pPr>
              <w:pStyle w:val="Title"/>
              <w:keepNext w:val="false"/>
              <w:widowControl/>
              <w:suppressAutoHyphens w:val="true"/>
              <w:ind w:hanging="1" w:left="34"/>
              <w:jc w:val="center"/>
              <w:rPr>
                <w:rFonts w:eastAsia="Calibri" w:eastAsiaTheme="minorHAnsi"/>
                <w:b w:val="false"/>
                <w:kern w:val="0"/>
                <w:sz w:val="26"/>
                <w:szCs w:val="26"/>
              </w:rPr>
            </w:pPr>
            <w:r>
              <w:rPr>
                <w:rFonts w:eastAsia="Calibri" w:eastAsiaTheme="minorHAnsi"/>
                <w:b w:val="false"/>
                <w:kern w:val="0"/>
                <w:sz w:val="26"/>
                <w:szCs w:val="26"/>
                <w:lang w:val="ru-RU" w:eastAsia="en-US" w:bidi="ar-SA"/>
              </w:rPr>
              <w:t>Степень контроля рисков</w:t>
            </w:r>
          </w:p>
        </w:tc>
      </w:tr>
      <w:tr>
        <w:trPr/>
        <w:tc>
          <w:tcPr>
            <w:tcW w:w="9750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567"/>
              <w:jc w:val="both"/>
              <w:rPr>
                <w:b/>
                <w:i/>
                <w:i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Риски решения проблемы предложенным способом регулирования не выявлены. Контроль эффективности избранного варианта осуществляется методом текущего контроля.</w:t>
            </w:r>
          </w:p>
        </w:tc>
      </w:tr>
    </w:tbl>
    <w:p>
      <w:pPr>
        <w:pStyle w:val="Normal"/>
        <w:spacing w:lineRule="auto" w:line="240"/>
        <w:ind w:right="-14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12. Необходимые для достижения заявленных целей регулирования организационно-технические, методологические, информационные и иные мероприятия</w:t>
      </w:r>
    </w:p>
    <w:tbl>
      <w:tblPr>
        <w:tblStyle w:val="a3"/>
        <w:tblW w:w="1002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005"/>
        <w:gridCol w:w="1485"/>
        <w:gridCol w:w="1980"/>
        <w:gridCol w:w="1845"/>
        <w:gridCol w:w="1710"/>
        <w:gridCol w:w="1995"/>
      </w:tblGrid>
      <w:tr>
        <w:trPr/>
        <w:tc>
          <w:tcPr>
            <w:tcW w:w="2490" w:type="dxa"/>
            <w:gridSpan w:val="2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12.1.</w:t>
            </w:r>
          </w:p>
        </w:tc>
        <w:tc>
          <w:tcPr>
            <w:tcW w:w="1980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12.2.</w:t>
            </w:r>
          </w:p>
        </w:tc>
        <w:tc>
          <w:tcPr>
            <w:tcW w:w="1845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12.3.</w:t>
            </w:r>
          </w:p>
        </w:tc>
        <w:tc>
          <w:tcPr>
            <w:tcW w:w="1710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12.4.</w:t>
            </w:r>
          </w:p>
        </w:tc>
        <w:tc>
          <w:tcPr>
            <w:tcW w:w="1995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12.5.</w:t>
            </w:r>
          </w:p>
        </w:tc>
      </w:tr>
      <w:tr>
        <w:trPr/>
        <w:tc>
          <w:tcPr>
            <w:tcW w:w="2490" w:type="dxa"/>
            <w:gridSpan w:val="2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4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Мероприятия, необходимые для достижения целей регулирования</w:t>
            </w:r>
          </w:p>
        </w:tc>
        <w:tc>
          <w:tcPr>
            <w:tcW w:w="1980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67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Сроки мероприятий</w:t>
            </w:r>
          </w:p>
        </w:tc>
        <w:tc>
          <w:tcPr>
            <w:tcW w:w="1845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ожидаемого результата</w:t>
            </w:r>
          </w:p>
        </w:tc>
        <w:tc>
          <w:tcPr>
            <w:tcW w:w="1710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Объем финан-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сирования</w:t>
            </w:r>
          </w:p>
        </w:tc>
        <w:tc>
          <w:tcPr>
            <w:tcW w:w="1995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Источники финансирования</w:t>
            </w:r>
          </w:p>
        </w:tc>
      </w:tr>
      <w:tr>
        <w:trPr/>
        <w:tc>
          <w:tcPr>
            <w:tcW w:w="2490" w:type="dxa"/>
            <w:gridSpan w:val="2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4"/>
              <w:contextualSpacing/>
              <w:jc w:val="left"/>
              <w:rPr>
                <w:rFonts w:ascii="Times New Roman" w:hAnsi="Times New Roman" w:cs="Times New Roman"/>
                <w:i/>
                <w:i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Информационная поддержка: размещение постановления администрации Копейского городского округа на официальном сайте администрации Копейского городского округа</w:t>
            </w:r>
          </w:p>
        </w:tc>
        <w:tc>
          <w:tcPr>
            <w:tcW w:w="1980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 w:cs="Times New Roman"/>
                <w:i/>
                <w:i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в течение 3 рабочих дней со дня подписания постановления</w:t>
            </w:r>
          </w:p>
        </w:tc>
        <w:tc>
          <w:tcPr>
            <w:tcW w:w="1845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-</w:t>
            </w:r>
          </w:p>
        </w:tc>
        <w:tc>
          <w:tcPr>
            <w:tcW w:w="1710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-</w:t>
            </w:r>
          </w:p>
        </w:tc>
        <w:tc>
          <w:tcPr>
            <w:tcW w:w="1995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center"/>
              <w:rPr>
                <w:rFonts w:ascii="Times New Roman" w:hAnsi="Times New Roman" w:cs="Times New Roman"/>
                <w:i/>
                <w:i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-</w:t>
            </w:r>
          </w:p>
        </w:tc>
      </w:tr>
      <w:tr>
        <w:trPr/>
        <w:tc>
          <w:tcPr>
            <w:tcW w:w="10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12.6.</w:t>
            </w:r>
          </w:p>
        </w:tc>
        <w:tc>
          <w:tcPr>
            <w:tcW w:w="9015" w:type="dxa"/>
            <w:gridSpan w:val="5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firstLine="720" w:left="0"/>
              <w:contextualSpacing/>
              <w:jc w:val="both"/>
              <w:rPr>
                <w:rFonts w:ascii="Times New Roman" w:hAnsi="Times New Roman" w:cs="Times New Roman"/>
                <w:i/>
                <w:i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Общий объем затрат на необходимые для достижения заявленных целей регулирования организационно-технические, методологические, информационные и иные мероприятия: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расходы, связанные с опубликованием постановления, предусмотрены бюджетом городского округа.</w:t>
            </w:r>
          </w:p>
        </w:tc>
      </w:tr>
    </w:tbl>
    <w:p>
      <w:pPr>
        <w:pStyle w:val="ListParagraph"/>
        <w:ind w:left="-142" w:right="-14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spacing w:lineRule="auto" w:line="240"/>
        <w:ind w:left="-142" w:right="-14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13. Описание методов контроля эффективности избранного способа достижения целей регулирования, индикативные показатели, программы мониторинга и иные способы (методы) оценки достижения заявленных целей регулирования</w:t>
      </w:r>
    </w:p>
    <w:p>
      <w:pPr>
        <w:pStyle w:val="ListParagraph"/>
        <w:ind w:firstLine="709" w:left="0" w:right="-143"/>
        <w:rPr>
          <w:i/>
          <w:i/>
          <w:iCs/>
        </w:rPr>
      </w:pPr>
      <w:r>
        <w:rPr>
          <w:rFonts w:cs="Times New Roman" w:ascii="Times New Roman" w:hAnsi="Times New Roman"/>
          <w:i/>
          <w:iCs/>
          <w:sz w:val="26"/>
          <w:szCs w:val="26"/>
        </w:rPr>
        <w:t>Контроль эффективности избранного варианта осуществляется методами текущего контроля.</w:t>
      </w:r>
    </w:p>
    <w:p>
      <w:pPr>
        <w:pStyle w:val="ListParagraph"/>
        <w:ind w:left="-142" w:right="-14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14. Справка о проведении публичных консультаций</w:t>
      </w:r>
    </w:p>
    <w:tbl>
      <w:tblPr>
        <w:tblStyle w:val="a3"/>
        <w:tblW w:w="1013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092"/>
        <w:gridCol w:w="3828"/>
        <w:gridCol w:w="5217"/>
      </w:tblGrid>
      <w:tr>
        <w:trPr/>
        <w:tc>
          <w:tcPr>
            <w:tcW w:w="1092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14.1.</w:t>
            </w:r>
          </w:p>
        </w:tc>
        <w:tc>
          <w:tcPr>
            <w:tcW w:w="3828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Полный электронный адрес размещения уведомления в информационно-телекоммуникационной сети «ИНТЕРНЕТ»</w:t>
            </w:r>
          </w:p>
        </w:tc>
        <w:tc>
          <w:tcPr>
            <w:tcW w:w="52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hyperlink r:id="rId2"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6"/>
                  <w:szCs w:val="26"/>
                  <w:lang w:val="en-US" w:eastAsia="en-US" w:bidi="ar-SA"/>
                </w:rPr>
                <w:t>https</w:t>
              </w:r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6"/>
                  <w:szCs w:val="26"/>
                  <w:lang w:val="ru-RU" w:eastAsia="en-US" w:bidi="ar-SA"/>
                </w:rPr>
                <w:t>://</w:t>
              </w:r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6"/>
                  <w:szCs w:val="26"/>
                  <w:lang w:val="en-US" w:eastAsia="en-US" w:bidi="ar-SA"/>
                </w:rPr>
                <w:t>www</w:t>
              </w:r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6"/>
                  <w:szCs w:val="26"/>
                  <w:lang w:val="ru-RU" w:eastAsia="en-US" w:bidi="ar-SA"/>
                </w:rPr>
                <w:t>.</w:t>
              </w:r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6"/>
                  <w:szCs w:val="26"/>
                  <w:lang w:val="en-US" w:eastAsia="en-US" w:bidi="ar-SA"/>
                </w:rPr>
                <w:t>akgo</w:t>
              </w:r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6"/>
                  <w:szCs w:val="26"/>
                  <w:lang w:val="ru-RU" w:eastAsia="en-US" w:bidi="ar-SA"/>
                </w:rPr>
                <w:t>74.</w:t>
              </w:r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6"/>
                  <w:szCs w:val="26"/>
                  <w:lang w:val="en-US" w:eastAsia="en-US" w:bidi="ar-SA"/>
                </w:rPr>
                <w:t>ru</w:t>
              </w:r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6"/>
                  <w:szCs w:val="26"/>
                  <w:lang w:val="ru-RU" w:eastAsia="en-US" w:bidi="ar-SA"/>
                </w:rPr>
                <w:t>/</w:t>
              </w:r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6"/>
                  <w:szCs w:val="26"/>
                  <w:lang w:val="en-US" w:eastAsia="en-US" w:bidi="ar-SA"/>
                </w:rPr>
                <w:t>about</w:t>
              </w:r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6"/>
                  <w:szCs w:val="26"/>
                  <w:lang w:val="ru-RU" w:eastAsia="en-US" w:bidi="ar-SA"/>
                </w:rPr>
                <w:t>/</w:t>
              </w:r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6"/>
                  <w:szCs w:val="26"/>
                  <w:lang w:val="en-US" w:eastAsia="en-US" w:bidi="ar-SA"/>
                </w:rPr>
                <w:t>otsenka</w:t>
              </w:r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6"/>
                  <w:szCs w:val="26"/>
                  <w:lang w:val="ru-RU" w:eastAsia="en-US" w:bidi="ar-SA"/>
                </w:rPr>
                <w:t>-</w:t>
              </w:r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6"/>
                  <w:szCs w:val="26"/>
                  <w:lang w:val="en-US" w:eastAsia="en-US" w:bidi="ar-SA"/>
                </w:rPr>
                <w:t>reguliruyushchego</w:t>
              </w:r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6"/>
                  <w:szCs w:val="26"/>
                  <w:lang w:val="ru-RU" w:eastAsia="en-US" w:bidi="ar-SA"/>
                </w:rPr>
                <w:t>-</w:t>
              </w:r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6"/>
                  <w:szCs w:val="26"/>
                  <w:lang w:val="en-US" w:eastAsia="en-US" w:bidi="ar-SA"/>
                </w:rPr>
                <w:t>vozdeystviya</w:t>
              </w:r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6"/>
                  <w:szCs w:val="26"/>
                  <w:lang w:val="ru-RU" w:eastAsia="en-US" w:bidi="ar-SA"/>
                </w:rPr>
                <w:t>.</w:t>
              </w:r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6"/>
                  <w:szCs w:val="26"/>
                  <w:lang w:val="en-US" w:eastAsia="en-US" w:bidi="ar-SA"/>
                </w:rPr>
                <w:t>php</w:t>
              </w:r>
            </w:hyperlink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1092" w:type="dxa"/>
            <w:vMerge w:val="restart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14.2.</w:t>
            </w:r>
          </w:p>
        </w:tc>
        <w:tc>
          <w:tcPr>
            <w:tcW w:w="3828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Срок, в течение которого разработчиком принимались предложения в связи с публичным обсуждением проекта акта:</w:t>
            </w:r>
          </w:p>
        </w:tc>
        <w:tc>
          <w:tcPr>
            <w:tcW w:w="5217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1092" w:type="dxa"/>
            <w:vMerge w:val="continue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3828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Начало:</w:t>
            </w:r>
          </w:p>
        </w:tc>
        <w:tc>
          <w:tcPr>
            <w:tcW w:w="5217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center"/>
              <w:rPr>
                <w:rFonts w:ascii="Times New Roman" w:hAnsi="Times New Roman" w:cs="Times New Roman"/>
                <w:i/>
                <w:i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28</w:t>
            </w: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.0</w:t>
            </w: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.202</w:t>
            </w: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5</w:t>
            </w:r>
          </w:p>
        </w:tc>
      </w:tr>
      <w:tr>
        <w:trPr/>
        <w:tc>
          <w:tcPr>
            <w:tcW w:w="1092" w:type="dxa"/>
            <w:vMerge w:val="continue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3828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Окончание:</w:t>
            </w:r>
          </w:p>
        </w:tc>
        <w:tc>
          <w:tcPr>
            <w:tcW w:w="5217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center"/>
              <w:rPr>
                <w:rFonts w:ascii="Times New Roman" w:hAnsi="Times New Roman" w:cs="Times New Roman"/>
                <w:i/>
                <w:i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02</w:t>
            </w: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.0</w:t>
            </w: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2</w:t>
            </w: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.202</w:t>
            </w: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5</w:t>
            </w:r>
          </w:p>
        </w:tc>
      </w:tr>
      <w:tr>
        <w:trPr/>
        <w:tc>
          <w:tcPr>
            <w:tcW w:w="1092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14.3.</w:t>
            </w:r>
          </w:p>
        </w:tc>
        <w:tc>
          <w:tcPr>
            <w:tcW w:w="9045" w:type="dxa"/>
            <w:gridSpan w:val="2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Сведения о заинтересованных лицах, извещенных о проведении публичных консультаций</w:t>
            </w:r>
          </w:p>
        </w:tc>
      </w:tr>
      <w:tr>
        <w:trPr/>
        <w:tc>
          <w:tcPr>
            <w:tcW w:w="1092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14.3.1.</w:t>
            </w:r>
          </w:p>
        </w:tc>
        <w:tc>
          <w:tcPr>
            <w:tcW w:w="9045" w:type="dxa"/>
            <w:gridSpan w:val="2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Союз «Южно-Уральская торгово-промышленная палата» </w:t>
            </w:r>
            <w:hyperlink r:id="rId3"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6"/>
                  <w:szCs w:val="26"/>
                  <w:lang w:val="en-US" w:eastAsia="en-US" w:bidi="ar-SA"/>
                </w:rPr>
                <w:t>mail</w:t>
              </w:r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6"/>
                  <w:szCs w:val="26"/>
                  <w:lang w:val="ru-RU" w:eastAsia="en-US" w:bidi="ar-SA"/>
                </w:rPr>
                <w:t>@</w:t>
              </w:r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6"/>
                  <w:szCs w:val="26"/>
                  <w:lang w:val="en-US" w:eastAsia="en-US" w:bidi="ar-SA"/>
                </w:rPr>
                <w:t>tpp</w:t>
              </w:r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6"/>
                  <w:szCs w:val="26"/>
                  <w:lang w:val="ru-RU" w:eastAsia="en-US" w:bidi="ar-SA"/>
                </w:rPr>
                <w:t>74.</w:t>
              </w:r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6"/>
                  <w:szCs w:val="26"/>
                  <w:lang w:val="en-US" w:eastAsia="en-US" w:bidi="ar-SA"/>
                </w:rPr>
                <w:t>ru</w:t>
              </w:r>
            </w:hyperlink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1092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14.3.2.</w:t>
            </w:r>
          </w:p>
        </w:tc>
        <w:tc>
          <w:tcPr>
            <w:tcW w:w="9045" w:type="dxa"/>
            <w:gridSpan w:val="2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Общественный представитель Уполномоченного по защите прав предпринимателей в Челябинской области в г. Копейске </w:t>
            </w:r>
            <w:hyperlink r:id="rId4"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6"/>
                  <w:szCs w:val="26"/>
                  <w:lang w:val="en-US" w:eastAsia="en-US" w:bidi="ar-SA"/>
                </w:rPr>
                <w:t>info</w:t>
              </w:r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6"/>
                  <w:szCs w:val="26"/>
                  <w:lang w:val="ru-RU" w:eastAsia="en-US" w:bidi="ar-SA"/>
                </w:rPr>
                <w:t>@</w:t>
              </w:r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6"/>
                  <w:szCs w:val="26"/>
                  <w:lang w:val="en-US" w:eastAsia="en-US" w:bidi="ar-SA"/>
                </w:rPr>
                <w:t>steklo</w:t>
              </w:r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6"/>
                  <w:szCs w:val="26"/>
                  <w:lang w:val="ru-RU" w:eastAsia="en-US" w:bidi="ar-SA"/>
                </w:rPr>
                <w:t>74.</w:t>
              </w:r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6"/>
                  <w:szCs w:val="26"/>
                  <w:lang w:val="en-US" w:eastAsia="en-US" w:bidi="ar-SA"/>
                </w:rPr>
                <w:t>ru</w:t>
              </w:r>
            </w:hyperlink>
          </w:p>
        </w:tc>
      </w:tr>
      <w:tr>
        <w:trPr/>
        <w:tc>
          <w:tcPr>
            <w:tcW w:w="1092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14.3.3.</w:t>
            </w:r>
          </w:p>
        </w:tc>
        <w:tc>
          <w:tcPr>
            <w:tcW w:w="9045" w:type="dxa"/>
            <w:gridSpan w:val="2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Уполномоченный по защите прав предпринимателей в Челябинской области </w:t>
            </w:r>
            <w:hyperlink r:id="rId5"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6"/>
                  <w:szCs w:val="26"/>
                  <w:lang w:val="ru-RU" w:eastAsia="en-US" w:bidi="ar-SA"/>
                </w:rPr>
                <w:t>ombudsman174@mail.ru</w:t>
              </w:r>
            </w:hyperlink>
          </w:p>
        </w:tc>
      </w:tr>
      <w:tr>
        <w:trPr/>
        <w:tc>
          <w:tcPr>
            <w:tcW w:w="1092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14.3.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.</w:t>
            </w:r>
          </w:p>
        </w:tc>
        <w:tc>
          <w:tcPr>
            <w:tcW w:w="9045" w:type="dxa"/>
            <w:gridSpan w:val="2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ИП, член ОКСа, директор фабрики «Медуза» </w:t>
            </w:r>
            <w:hyperlink r:id="rId6"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6"/>
                  <w:szCs w:val="26"/>
                  <w:lang w:val="en-US" w:eastAsia="en-US" w:bidi="ar-SA"/>
                </w:rPr>
                <w:t>sela</w:t>
              </w:r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6"/>
                  <w:szCs w:val="26"/>
                  <w:lang w:val="ru-RU" w:eastAsia="en-US" w:bidi="ar-SA"/>
                </w:rPr>
                <w:t>@</w:t>
              </w:r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6"/>
                  <w:szCs w:val="26"/>
                  <w:lang w:val="en-US" w:eastAsia="en-US" w:bidi="ar-SA"/>
                </w:rPr>
                <w:t>meduza</w:t>
              </w:r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6"/>
                  <w:szCs w:val="26"/>
                  <w:lang w:val="ru-RU" w:eastAsia="en-US" w:bidi="ar-SA"/>
                </w:rPr>
                <w:t>-</w:t>
              </w:r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6"/>
                  <w:szCs w:val="26"/>
                  <w:lang w:val="en-US" w:eastAsia="en-US" w:bidi="ar-SA"/>
                </w:rPr>
                <w:t>chel</w:t>
              </w:r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6"/>
                  <w:szCs w:val="26"/>
                  <w:lang w:val="ru-RU" w:eastAsia="en-US" w:bidi="ar-SA"/>
                </w:rPr>
                <w:t>.</w:t>
              </w:r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6"/>
                  <w:szCs w:val="26"/>
                  <w:lang w:val="en-US" w:eastAsia="en-US" w:bidi="ar-SA"/>
                </w:rPr>
                <w:t>ru</w:t>
              </w:r>
            </w:hyperlink>
          </w:p>
        </w:tc>
      </w:tr>
      <w:tr>
        <w:trPr/>
        <w:tc>
          <w:tcPr>
            <w:tcW w:w="1092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en-US" w:eastAsia="en-US" w:bidi="ar-SA"/>
              </w:rPr>
              <w:t>14.3.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5.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9045" w:type="dxa"/>
            <w:gridSpan w:val="2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ИП, представитель местного отделения «ОПОРА РОССИИ», член общественной палаты г. Копейска </w:t>
            </w:r>
            <w:hyperlink r:id="rId7"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6"/>
                  <w:szCs w:val="26"/>
                  <w:lang w:val="en-US" w:eastAsia="en-US" w:bidi="ar-SA"/>
                </w:rPr>
                <w:t>chuvakina</w:t>
              </w:r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6"/>
                  <w:szCs w:val="26"/>
                  <w:lang w:val="ru-RU" w:eastAsia="en-US" w:bidi="ar-SA"/>
                </w:rPr>
                <w:t>_</w:t>
              </w:r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6"/>
                  <w:szCs w:val="26"/>
                  <w:lang w:val="en-US" w:eastAsia="en-US" w:bidi="ar-SA"/>
                </w:rPr>
                <w:t>olga</w:t>
              </w:r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6"/>
                  <w:szCs w:val="26"/>
                  <w:lang w:val="ru-RU" w:eastAsia="en-US" w:bidi="ar-SA"/>
                </w:rPr>
                <w:t>@</w:t>
              </w:r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6"/>
                  <w:szCs w:val="26"/>
                  <w:lang w:val="en-US" w:eastAsia="en-US" w:bidi="ar-SA"/>
                </w:rPr>
                <w:t>mail</w:t>
              </w:r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6"/>
                  <w:szCs w:val="26"/>
                  <w:lang w:val="ru-RU" w:eastAsia="en-US" w:bidi="ar-SA"/>
                </w:rPr>
                <w:t>.</w:t>
              </w:r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6"/>
                  <w:szCs w:val="26"/>
                  <w:lang w:val="en-US" w:eastAsia="en-US" w:bidi="ar-SA"/>
                </w:rPr>
                <w:t>ru</w:t>
              </w:r>
            </w:hyperlink>
          </w:p>
        </w:tc>
      </w:tr>
      <w:tr>
        <w:trPr/>
        <w:tc>
          <w:tcPr>
            <w:tcW w:w="1092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en-US" w:eastAsia="en-US" w:bidi="ar-SA"/>
              </w:rPr>
              <w:t>14.3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.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6.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9045" w:type="dxa"/>
            <w:gridSpan w:val="2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ачальник правового управления администрации Копейского городского округа </w:t>
            </w:r>
          </w:p>
        </w:tc>
      </w:tr>
      <w:tr>
        <w:trPr/>
        <w:tc>
          <w:tcPr>
            <w:tcW w:w="1092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14.3.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en-US" w:eastAsia="en-US" w:bidi="ar-SA"/>
              </w:rPr>
              <w:t>7.</w:t>
            </w:r>
          </w:p>
        </w:tc>
        <w:tc>
          <w:tcPr>
            <w:tcW w:w="9045" w:type="dxa"/>
            <w:gridSpan w:val="2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Неопределенный круг лиц в сети «ИНТЕРНЕТ»</w:t>
            </w:r>
          </w:p>
        </w:tc>
      </w:tr>
      <w:tr>
        <w:trPr/>
        <w:tc>
          <w:tcPr>
            <w:tcW w:w="1092" w:type="dxa"/>
            <w:vMerge w:val="restart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14.4.</w:t>
            </w:r>
          </w:p>
        </w:tc>
        <w:tc>
          <w:tcPr>
            <w:tcW w:w="3828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Сведения о количестве замечаний и предложений, полученных в связи с публичными консультациями по проекту акта:</w:t>
            </w:r>
          </w:p>
        </w:tc>
        <w:tc>
          <w:tcPr>
            <w:tcW w:w="5217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Поступило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 заключения на проект постановления от: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firstLine="360"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Уполномоченного по защите прав предпринимателей в Челябинской области (прилагается);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firstLine="360"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Общественного представителя уполномоченного по защите прав предпринимателей в Челябинской области в г. Копейске (прилагается);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firstLine="360" w:left="0" w:right="-143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начальника правового управления администрации Копейского городского округа (прилагается).</w:t>
            </w:r>
          </w:p>
        </w:tc>
      </w:tr>
      <w:tr>
        <w:trPr/>
        <w:tc>
          <w:tcPr>
            <w:tcW w:w="1092" w:type="dxa"/>
            <w:vMerge w:val="continue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3828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Всего замечаний и предложений</w:t>
            </w:r>
          </w:p>
        </w:tc>
        <w:tc>
          <w:tcPr>
            <w:tcW w:w="5217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center"/>
              <w:rPr>
                <w:rFonts w:ascii="Times New Roman" w:hAnsi="Times New Roman" w:cs="Times New Roman"/>
                <w:i/>
                <w:i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1092" w:type="dxa"/>
            <w:vMerge w:val="continue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3828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из них учтено:</w:t>
            </w:r>
          </w:p>
        </w:tc>
        <w:tc>
          <w:tcPr>
            <w:tcW w:w="5217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center"/>
              <w:rPr>
                <w:rFonts w:ascii="Times New Roman" w:hAnsi="Times New Roman" w:cs="Times New Roman"/>
                <w:i/>
                <w:i/>
                <w:sz w:val="26"/>
                <w:szCs w:val="26"/>
              </w:rPr>
            </w:pPr>
            <w:r>
              <w:rPr/>
            </w:r>
          </w:p>
        </w:tc>
      </w:tr>
      <w:tr>
        <w:trPr/>
        <w:tc>
          <w:tcPr>
            <w:tcW w:w="1092" w:type="dxa"/>
            <w:vMerge w:val="continue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3828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полностью</w:t>
            </w:r>
          </w:p>
        </w:tc>
        <w:tc>
          <w:tcPr>
            <w:tcW w:w="5217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center"/>
              <w:rPr>
                <w:rFonts w:ascii="Times New Roman" w:hAnsi="Times New Roman" w:cs="Times New Roman"/>
                <w:i/>
                <w:i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1092" w:type="dxa"/>
            <w:vMerge w:val="continue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3828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учтено частично</w:t>
            </w:r>
          </w:p>
        </w:tc>
        <w:tc>
          <w:tcPr>
            <w:tcW w:w="5217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 w:right="-143"/>
              <w:contextualSpacing/>
              <w:jc w:val="center"/>
              <w:rPr>
                <w:rFonts w:ascii="Times New Roman" w:hAnsi="Times New Roman" w:cs="Times New Roman"/>
                <w:i/>
                <w:i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6"/>
                <w:szCs w:val="26"/>
                <w:lang w:val="ru-RU" w:eastAsia="en-US" w:bidi="ar-SA"/>
              </w:rPr>
              <w:t>0</w:t>
            </w:r>
          </w:p>
        </w:tc>
      </w:tr>
    </w:tbl>
    <w:p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Начальник отдела </w:t>
      </w:r>
    </w:p>
    <w:p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по инвестиционной политике,</w:t>
      </w:r>
    </w:p>
    <w:p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поддержке и развитию предпринимательства                                                 Е.А. Воробьева</w:t>
      </w:r>
    </w:p>
    <w:sectPr>
      <w:type w:val="nextPage"/>
      <w:pgSz w:w="11906" w:h="16838"/>
      <w:pgMar w:left="1134" w:right="851" w:gutter="0" w:header="0" w:top="567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Open Sans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2"/>
      <w:numFmt w:val="decimal"/>
      <w:lvlText w:val="%1)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5">
    <w:lvl w:ilvl="0">
      <w:start w:val="2"/>
      <w:numFmt w:val="decimal"/>
      <w:lvlText w:val="%1)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6">
    <w:lvl w:ilvl="0">
      <w:start w:val="2"/>
      <w:numFmt w:val="decimal"/>
      <w:lvlText w:val="%1)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4"/>
    <w:lvlOverride w:ilvl="0">
      <w:startOverride w:val="1"/>
    </w:lvlOverride>
  </w:num>
  <w:num w:numId="8">
    <w:abstractNumId w:val="4"/>
  </w:num>
  <w:num w:numId="9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0000a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9"/>
    <w:qFormat/>
    <w:rsid w:val="005c3bd2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2"/>
    <w:uiPriority w:val="99"/>
    <w:qFormat/>
    <w:rsid w:val="0064141a"/>
    <w:pPr>
      <w:keepNext w:val="true"/>
      <w:keepLines/>
      <w:spacing w:lineRule="auto" w:line="240" w:before="120" w:after="120"/>
      <w:ind w:left="709"/>
      <w:jc w:val="both"/>
      <w:outlineLvl w:val="1"/>
    </w:pPr>
    <w:rPr>
      <w:rFonts w:ascii="Cambria" w:hAnsi="Cambria" w:eastAsia="Times New Roman" w:cs="Times New Roman"/>
      <w:b/>
      <w:sz w:val="28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sid w:val="00c1381e"/>
    <w:rPr>
      <w:rFonts w:ascii="Tahoma" w:hAnsi="Tahoma" w:cs="Tahoma"/>
      <w:sz w:val="16"/>
      <w:szCs w:val="16"/>
    </w:rPr>
  </w:style>
  <w:style w:type="character" w:styleId="2" w:customStyle="1">
    <w:name w:val="Заголовок 2 Знак"/>
    <w:basedOn w:val="DefaultParagraphFont"/>
    <w:uiPriority w:val="99"/>
    <w:qFormat/>
    <w:rsid w:val="0064141a"/>
    <w:rPr>
      <w:rFonts w:ascii="Cambria" w:hAnsi="Cambria" w:eastAsia="Times New Roman" w:cs="Times New Roman"/>
      <w:b/>
      <w:sz w:val="28"/>
      <w:szCs w:val="20"/>
    </w:rPr>
  </w:style>
  <w:style w:type="character" w:styleId="Style13" w:customStyle="1">
    <w:name w:val="Название Знак"/>
    <w:basedOn w:val="DefaultParagraphFont"/>
    <w:qFormat/>
    <w:rsid w:val="005c3bd2"/>
    <w:rPr>
      <w:rFonts w:ascii="Times New Roman" w:hAnsi="Times New Roman" w:eastAsia="Times New Roman" w:cs="Times New Roman"/>
      <w:b/>
      <w:kern w:val="2"/>
      <w:sz w:val="28"/>
      <w:szCs w:val="20"/>
    </w:rPr>
  </w:style>
  <w:style w:type="character" w:styleId="1" w:customStyle="1">
    <w:name w:val="Заголовок 1 Знак"/>
    <w:basedOn w:val="DefaultParagraphFont"/>
    <w:uiPriority w:val="99"/>
    <w:qFormat/>
    <w:rsid w:val="005c3bd2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Style14" w:customStyle="1">
    <w:name w:val="Цветовое выделение"/>
    <w:uiPriority w:val="99"/>
    <w:qFormat/>
    <w:rsid w:val="00bb51fb"/>
    <w:rPr>
      <w:b/>
      <w:color w:val="26282F"/>
    </w:rPr>
  </w:style>
  <w:style w:type="character" w:styleId="Hyperlink">
    <w:name w:val="Hyperlink"/>
    <w:basedOn w:val="DefaultParagraphFont"/>
    <w:uiPriority w:val="99"/>
    <w:unhideWhenUsed/>
    <w:rsid w:val="00f63e3a"/>
    <w:rPr>
      <w:color w:themeColor="hyperlink" w:val="0000FF"/>
      <w:u w:val="single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a40220"/>
    <w:rPr/>
  </w:style>
  <w:style w:type="character" w:styleId="Style16" w:customStyle="1">
    <w:name w:val="Нижний колонтитул Знак"/>
    <w:basedOn w:val="DefaultParagraphFont"/>
    <w:uiPriority w:val="99"/>
    <w:qFormat/>
    <w:rsid w:val="00a40220"/>
    <w:rPr/>
  </w:style>
  <w:style w:type="character" w:styleId="WW8Num8z0" w:customStyle="1">
    <w:name w:val="WW8Num8z0"/>
    <w:qFormat/>
    <w:rsid w:val="00174834"/>
    <w:rPr>
      <w:b w:val="false"/>
      <w:i w:val="false"/>
    </w:rPr>
  </w:style>
  <w:style w:type="character" w:styleId="Path-separator" w:customStyle="1">
    <w:name w:val="path-separator"/>
    <w:basedOn w:val="DefaultParagraphFont"/>
    <w:qFormat/>
    <w:rsid w:val="00802879"/>
    <w:rPr/>
  </w:style>
  <w:style w:type="character" w:styleId="Strong">
    <w:name w:val="Strong"/>
    <w:basedOn w:val="DefaultParagraphFont"/>
    <w:uiPriority w:val="22"/>
    <w:qFormat/>
    <w:rsid w:val="00193d7f"/>
    <w:rPr>
      <w:b/>
      <w:bCs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5b6958"/>
    <w:pPr>
      <w:spacing w:before="0" w:after="200"/>
      <w:ind w:left="720"/>
      <w:contextualSpacing/>
    </w:pPr>
    <w:rPr/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c1381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Title">
    <w:name w:val="Title"/>
    <w:basedOn w:val="Heading1"/>
    <w:next w:val="Normal"/>
    <w:link w:val="Style13"/>
    <w:qFormat/>
    <w:rsid w:val="005c3bd2"/>
    <w:pPr>
      <w:keepLines w:val="false"/>
      <w:spacing w:lineRule="auto" w:line="240" w:before="0" w:after="0"/>
      <w:jc w:val="both"/>
    </w:pPr>
    <w:rPr>
      <w:rFonts w:ascii="Times New Roman" w:hAnsi="Times New Roman" w:eastAsia="Times New Roman" w:cs="Times New Roman"/>
      <w:bCs w:val="false"/>
      <w:color w:themeColor="accent1" w:themeShade="bf" w:val="auto"/>
      <w:kern w:val="2"/>
      <w:szCs w:val="20"/>
    </w:rPr>
  </w:style>
  <w:style w:type="paragraph" w:styleId="NoSpacing">
    <w:name w:val="No Spacing"/>
    <w:uiPriority w:val="1"/>
    <w:qFormat/>
    <w:rsid w:val="005e474c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a4022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6"/>
    <w:uiPriority w:val="99"/>
    <w:unhideWhenUsed/>
    <w:rsid w:val="00a4022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unhideWhenUsed/>
    <w:qFormat/>
    <w:rsid w:val="0029765e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b652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akgo74.ru/about/otsenka-reguliruyushchego-vozdeystviya.php" TargetMode="External"/><Relationship Id="rId3" Type="http://schemas.openxmlformats.org/officeDocument/2006/relationships/hyperlink" Target="mailto:mail@tpp74.ru" TargetMode="External"/><Relationship Id="rId4" Type="http://schemas.openxmlformats.org/officeDocument/2006/relationships/hyperlink" Target="mailto:info@steklo74.ru" TargetMode="External"/><Relationship Id="rId5" Type="http://schemas.openxmlformats.org/officeDocument/2006/relationships/hyperlink" Target="mailto:ombudsman174@mail.ru" TargetMode="External"/><Relationship Id="rId6" Type="http://schemas.openxmlformats.org/officeDocument/2006/relationships/hyperlink" Target="mailto:sela@meduza-chel.ru" TargetMode="External"/><Relationship Id="rId7" Type="http://schemas.openxmlformats.org/officeDocument/2006/relationships/hyperlink" Target="mailto:chuvakina_olga@mail.ru" TargetMode="Externa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B072B-F91F-43C7-9D79-B3F34055F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Application>LibreOffice/7.6.0.3$Linux_X86_64 LibreOffice_project/60$Build-3</Application>
  <AppVersion>15.0000</AppVersion>
  <Pages>5</Pages>
  <Words>1208</Words>
  <Characters>9437</Characters>
  <CharactersWithSpaces>10581</CharactersWithSpaces>
  <Paragraphs>166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2022-07-20T05:43:00Z</dcterms:created>
  <dc:creator>Ганеева Э.А.</dc:creator>
  <dc:description/>
  <dc:language>ru-RU</dc:language>
  <cp:lastModifiedBy/>
  <cp:lastPrinted>2024-06-06T12:48:09Z</cp:lastPrinted>
  <dcterms:modified xsi:type="dcterms:W3CDTF">2025-02-04T10:39:33Z</dcterms:modified>
  <cp:revision>44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