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Справка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о проведении публичных консультаций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Наименование проекта нормативного правового акта 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contextualSpacing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Постановление администрации Копейского городского округа Челябинской области «Об организации предоставления торговых мест для размещения нестационарных объектов сезонной торговли на территории Копейского городского округа»</w:t>
      </w:r>
    </w:p>
    <w:p>
      <w:pPr>
        <w:pStyle w:val="Normal"/>
        <w:numPr>
          <w:ilvl w:val="1"/>
          <w:numId w:val="7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Предложения принимались органом-разработчиком проекта нормативного правового акта с 08.07.2024г. по  29.07.2024г.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Общее число участников публичных консультаций: (шесть)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left="0"/>
        <w:contextualSpacing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4.Общее число полученных предложений: от 1 участника 5 предложений.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2160" w:left="2160"/>
        <w:contextualSpacing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5.Число учтенных предложений: 4 (четыре)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2880" w:left="2880"/>
        <w:contextualSpacing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Число предложений, учтенных частично: 0 (ноль)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contextualSpacing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7.Число отклоненных предложений: 1 (один)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contextualSpacing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8.Свод предложений:</w:t>
      </w:r>
    </w:p>
    <w:tbl>
      <w:tblPr>
        <w:tblW w:w="149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486"/>
        <w:gridCol w:w="2834"/>
        <w:gridCol w:w="3985"/>
        <w:gridCol w:w="1815"/>
        <w:gridCol w:w="1470"/>
        <w:gridCol w:w="1875"/>
        <w:gridCol w:w="2506"/>
      </w:tblGrid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Участник обсуждения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Предложение участника обсуждения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Способ предоставления предложения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Дата поступления предложения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Результат рассмотрения предложения разработчиком проекта нормативного правового акта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Комментарий разработчика проекта нормативного парового акта (причины полного и частичного отклонения предложения)</w:t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Местное отделение «ОПОРА РОССИИ» (Чувакина О.А.)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Информация не поступила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ИП Адищева Л.Н. Фабрика «Медуза»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Информация не поступила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ЮУТПП Челябинской области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Информация не поступила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</w:tr>
      <w:tr>
        <w:trPr/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Правовое управление КГО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 п. 1 глава I «Общие положения» проекта Порядка указано, что настоящий Порядок определяет порядок предоставления торговых мест для размещения нестационарных объектов сезонной торговли юридическим лицам и индивидуальным предпринимателям.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Вместе с тем, в п. 2 проекта Порядка «основные понятия» указано – субъект торговли – 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Таким образом, в указанных пунктах имеются разночтения.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Бумажный носитель (нарочно)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29.07.2024 № 19079-пс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принято к сведению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Внесены необходимые корректировки</w:t>
            </w:r>
          </w:p>
        </w:tc>
      </w:tr>
      <w:tr>
        <w:trPr>
          <w:trHeight w:val="4769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both"/>
              <w:rPr>
                <w:rFonts w:ascii="Times New Roman" w:hAnsi="Times New Roman" w:eastAsia="Calibri" w:eastAsiaTheme="minorHAnsi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По всему тексту проекта Порядка имеются разночтения «субъект торговли» и «хозяйствующий субъект», которые не являются словами синонимами, имеют разное значение.</w:t>
            </w:r>
          </w:p>
          <w:p>
            <w:pPr>
              <w:pStyle w:val="Normal"/>
              <w:spacing w:lineRule="auto" w:line="240" w:before="0" w:after="200"/>
              <w:contextualSpacing/>
              <w:jc w:val="both"/>
              <w:rPr>
                <w:rFonts w:ascii="Times New Roman" w:hAnsi="Times New Roman" w:eastAsia="Calibri" w:eastAsiaTheme="minorHAnsi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Субъект торговли - юридическое лицо или индивидуальный предприниматель, занимающиеся торговлей и зарегистрированные в установленном порядке.</w:t>
            </w:r>
          </w:p>
          <w:p>
            <w:pPr>
              <w:pStyle w:val="Normal"/>
              <w:spacing w:lineRule="auto" w:line="240" w:before="0" w:after="200"/>
              <w:contextualSpacing/>
              <w:jc w:val="both"/>
              <w:rPr>
                <w:rFonts w:ascii="Times New Roman" w:hAnsi="Times New Roman" w:eastAsia="Calibri" w:eastAsiaTheme="minorHAnsi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Хозяйствующий субъект — это участник экономической деятельности, которым может быть коммерческая или некоммерческая организация, ИП и даже обычное физлицо. При этом деятельность хозяйствующего субъекта приносит ему доход и ведётся в соответствии с законами России.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принято к сведению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both"/>
              <w:rPr>
                <w:rFonts w:ascii="Times New Roman" w:hAnsi="Times New Roman" w:eastAsia="Calibri" w:eastAsiaTheme="minorHAnsi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Внесены необходимые корректировки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both"/>
              <w:rPr>
                <w:rFonts w:ascii="Times New Roman" w:hAnsi="Times New Roman" w:eastAsia="Calibri" w:eastAsiaTheme="minorHAnsi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В п. 4 проекта Порядка указаны территории, на которые не распространяются отношения, связанные с размещением нестационарных торговых объектов.</w:t>
            </w:r>
          </w:p>
          <w:p>
            <w:pPr>
              <w:pStyle w:val="Normal"/>
              <w:spacing w:lineRule="auto" w:line="240" w:before="0" w:after="200"/>
              <w:contextualSpacing/>
              <w:jc w:val="both"/>
              <w:rPr>
                <w:rFonts w:ascii="Times New Roman" w:hAnsi="Times New Roman" w:eastAsia="Calibri" w:eastAsiaTheme="minorHAnsi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Вместе с тем, указанные территории не соответствуют ч. 2 ст. 1 Закона Челябинской области от 09.04.2020 № 131-ЗО (в ред. от 06.03.2024) 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 (далее – Закон № 131-ЗО).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принято к сведению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both"/>
              <w:rPr>
                <w:rFonts w:ascii="Times New Roman" w:hAnsi="Times New Roman" w:eastAsia="Calibri" w:eastAsiaTheme="minorHAnsi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Внесены необходимые корректировки</w:t>
            </w:r>
          </w:p>
        </w:tc>
      </w:tr>
      <w:tr>
        <w:trPr/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7 и п. 8 проекта Порядка содержат идентичные требования, в соответствии с которыми размещение объектов сезонной торговли не допускается.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принято к сведению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both"/>
              <w:rPr>
                <w:rFonts w:ascii="Times New Roman" w:hAnsi="Times New Roman" w:eastAsia="Calibri" w:eastAsiaTheme="minorHAnsi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Внесены необходимые корректировки</w:t>
            </w:r>
          </w:p>
        </w:tc>
      </w:tr>
      <w:tr>
        <w:trPr>
          <w:trHeight w:val="714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16 и п. 17 проекта Порядка не соответствует ч. 2 ст. 3 Закона № 131-ЗО.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ознакомились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both"/>
              <w:rPr>
                <w:rFonts w:ascii="Times New Roman" w:hAnsi="Times New Roman" w:eastAsia="Calibri" w:eastAsiaTheme="minorHAnsi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 xml:space="preserve">Корректировки не внесены, так как указанные пункты соответствуют  </w:t>
            </w: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 xml:space="preserve">пп. 3 и 4 статьи 3 </w:t>
            </w: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действующе</w:t>
            </w: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го</w:t>
            </w: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 xml:space="preserve"> закон</w:t>
            </w: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а</w:t>
            </w: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 xml:space="preserve">. </w:t>
            </w: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Остальные подпункты распространяются на НТО длительного размещения.</w:t>
            </w:r>
          </w:p>
        </w:tc>
      </w:tr>
      <w:tr>
        <w:trPr>
          <w:trHeight w:val="1079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Уполномоченный по защите прав предпринимателей в Челябинской области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А.Н. Гончаров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Предложений не имею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эл. почта 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torg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@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akgo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74.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24.07.2024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ознакомились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-/-</w:t>
            </w:r>
          </w:p>
        </w:tc>
      </w:tr>
      <w:tr>
        <w:trPr>
          <w:trHeight w:val="1380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Алдакушев Е.И. – общественный представитель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уполномоченн по защите прав предпринимателей в Челябинской области по г. Копейску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1276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Замечаний и дополнений не имею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эл. почта 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torg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@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akgo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74.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29.07.2024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ознакомились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Times New Roman" w:hAnsi="Times New Roman" w:eastAsia="Calibri" w:eastAsiaTheme="minorHAnsi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sz w:val="20"/>
                <w:szCs w:val="20"/>
              </w:rPr>
              <w:t>-/-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0"/>
        </w:rPr>
      </w:pPr>
      <w:r>
        <w:rPr>
          <w:rFonts w:eastAsia="Times New Roman" w:ascii="Times New Roman" w:hAnsi="Times New Roman"/>
          <w:sz w:val="2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0"/>
        </w:rPr>
      </w:pPr>
      <w:r>
        <w:rPr>
          <w:rFonts w:eastAsia="Times New Roman" w:ascii="Times New Roman" w:hAnsi="Times New Roman"/>
          <w:sz w:val="2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Начальник отдела по инвестиционной политике,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поддержке и развитию предпринимательства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</w:rPr>
        <w:t xml:space="preserve">    Е.А. Воробьева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080" w:right="1080" w:gutter="0" w:header="708" w:top="765" w:footer="708" w:bottom="76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6"/>
      <w:numFmt w:val="decimal"/>
      <w:lvlText w:val="%1."/>
      <w:lvlJc w:val="left"/>
      <w:pPr>
        <w:tabs>
          <w:tab w:val="num" w:pos="0"/>
        </w:tabs>
        <w:ind w:left="28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</w:num>
  <w:num w:numId="7">
    <w:abstractNumId w:val="3"/>
  </w:num>
  <w:num w:numId="8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7ab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0099b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c1348"/>
    <w:rPr>
      <w:rFonts w:ascii="Tahoma" w:hAnsi="Tahoma" w:eastAsia="Calibri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94aa6"/>
    <w:rPr>
      <w:rFonts w:ascii="Calibri" w:hAnsi="Calibri" w:eastAsia="Calibri" w:cs="Times New Roma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94aa6"/>
    <w:rPr>
      <w:rFonts w:ascii="Calibri" w:hAnsi="Calibri" w:eastAsia="Calibri" w:cs="Times New Roman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d12c85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c134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94aa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a94aa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Application>LibreOffice/7.6.0.3$Linux_X86_64 LibreOffice_project/60$Build-3</Application>
  <AppVersion>15.0000</AppVersion>
  <Pages>3</Pages>
  <Words>552</Words>
  <Characters>3940</Characters>
  <CharactersWithSpaces>4576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2018-01-15T05:24:00Z</dcterms:created>
  <dc:creator>Ренхе Ирина Анатольевна</dc:creator>
  <dc:description/>
  <dc:language>ru-RU</dc:language>
  <cp:lastModifiedBy/>
  <cp:lastPrinted>2024-08-02T08:21:42Z</cp:lastPrinted>
  <dcterms:modified xsi:type="dcterms:W3CDTF">2024-08-02T08:46:38Z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