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bCs/>
          <w:sz w:val="28"/>
          <w:szCs w:val="28"/>
        </w:rPr>
      </w:pPr>
      <w:bookmarkStart w:id="0" w:name="sub_1000"/>
      <w:r>
        <w:rPr>
          <w:rFonts w:cs="Times New Roman" w:ascii="Times New Roman" w:hAnsi="Times New Roman"/>
          <w:bCs/>
          <w:sz w:val="28"/>
          <w:szCs w:val="28"/>
        </w:rPr>
        <w:t>УТВЕРЖДЕНА</w:t>
        <w:br/>
        <w:t xml:space="preserve">распоряжением администрации </w:t>
      </w:r>
    </w:p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sz w:val="28"/>
          <w:szCs w:val="28"/>
        </w:rPr>
      </w:pPr>
      <w:bookmarkStart w:id="1" w:name="sub_1000"/>
      <w:r>
        <w:rPr>
          <w:rFonts w:cs="Times New Roman" w:ascii="Times New Roman" w:hAnsi="Times New Roman"/>
          <w:bCs/>
          <w:sz w:val="28"/>
          <w:szCs w:val="28"/>
        </w:rPr>
        <w:t>Копейского городского округа</w:t>
        <w:br/>
        <w:t>от 23.10.2024 № 846-р                (в редакции</w:t>
      </w:r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 распоряжения администрации Копейского городского округа </w:t>
      </w:r>
    </w:p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от </w:t>
      </w:r>
      <w:r>
        <w:rPr>
          <w:rFonts w:cs="Times New Roman" w:ascii="Times New Roman" w:hAnsi="Times New Roman"/>
          <w:bCs/>
          <w:sz w:val="28"/>
          <w:szCs w:val="28"/>
        </w:rPr>
        <w:t xml:space="preserve">13.01.2026 </w:t>
      </w:r>
      <w:r>
        <w:rPr>
          <w:rFonts w:cs="Times New Roman" w:ascii="Times New Roman" w:hAnsi="Times New Roman"/>
          <w:bCs/>
          <w:sz w:val="28"/>
          <w:szCs w:val="28"/>
        </w:rPr>
        <w:t>№</w:t>
      </w:r>
      <w:r>
        <w:rPr>
          <w:rFonts w:cs="Times New Roman" w:ascii="Times New Roman" w:hAnsi="Times New Roman"/>
          <w:bCs/>
          <w:sz w:val="28"/>
          <w:szCs w:val="28"/>
        </w:rPr>
        <w:t>16-р</w:t>
      </w:r>
      <w:r>
        <w:rPr>
          <w:rFonts w:cs="Times New Roman" w:ascii="Times New Roman" w:hAnsi="Times New Roman"/>
          <w:bCs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«Молодёжь Копейска»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текущего состояния сферы молодёжной политики</w:t>
      </w:r>
    </w:p>
    <w:p>
      <w:pPr>
        <w:pStyle w:val="ListParagraph"/>
        <w:spacing w:lineRule="auto" w:line="240" w:before="0" w:after="0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территории Копейского городского округа (далее – городской округ) за последние годы удалось достичь заметного улучшения социально-экономического положения молодёжи. Наблюдается стремление к ведению здорового образа жизни, снизился уровень молодёжной безработицы, наметилось снижение преступности, увеличилось число молодёжи с активной гражданской позицией. Многие представители молодёжи входят в число победителей и призёров городских, областных, всероссийских и международных олимпиад, соревнований, творческих конкурсов.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городском округе сохранена  инфраструктура учреждений, работающих с молодежью, разработана и успешно действует система мероприятий, обеспечивающих привлечение молодежи к позитивному проведению досуга, занятиям физической культурой и спортом, творческой самореализацией, обеспечены условия формирования у молодежи первичных трудовых навыков, достигнуты значительные успехи различными творческими и спортивными молодежными коллективами, созданы структуры органов ученического и студенческого самоуправления, детские и молодежные организации, объединенные в Ассоциацию «ОКО», Общественный молодежный Совет при Главе городского округа и ряд других общественных организаций.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 xml:space="preserve">Продолжает активно развиваться волонтёрское движение. Более 9 тысяч человек принимают участие в добровольческой деятельности. </w:t>
      </w:r>
      <w:r>
        <w:rPr>
          <w:rFonts w:cs="Times New Roman" w:ascii="Times New Roman" w:hAnsi="Times New Roman"/>
          <w:sz w:val="28"/>
          <w:szCs w:val="28"/>
        </w:rPr>
        <w:t xml:space="preserve">С 2023 года на территории городского округа открыт «Добро. Центр» </w:t>
      </w:r>
      <w:r>
        <w:rPr>
          <w:rFonts w:cs="Times New Roman" w:ascii="Times New Roman" w:hAnsi="Times New Roman"/>
          <w:sz w:val="28"/>
          <w:szCs w:val="28"/>
        </w:rPr>
        <w:t>с целью вовлечения молодёжи в волонтёрскую деятельность, поддержки молодёжных инициатив, обучению социальному проектированию и составлению грантовых заявок.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 xml:space="preserve">Налажено взаимодействие с социально ориентированными некоммерческими организациями, представителями талантливой, творческой, работающей молодёжи.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Проблемным фактором молодёжной политики является деструктивное информационное воздействие на молодёжь, следствие которого могут стать повышенная агрессивность в молодёжной среде, национальная и религиозная нетерпимость, социальное напряжение в обществе.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Эффективная реализация молодёжной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работающих над своим личностным и профессиональным развитием.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>
      <w:pPr>
        <w:pStyle w:val="ListParagraph"/>
        <w:spacing w:lineRule="auto" w:line="240" w:before="0" w:after="0"/>
        <w:ind w:firstLine="709" w:left="0"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Муниципальная программа</w:t>
      </w:r>
      <w:r>
        <w:rPr>
          <w:rFonts w:cs="Times New Roman" w:ascii="Times New Roman" w:hAnsi="Times New Roman"/>
          <w:sz w:val="28"/>
          <w:szCs w:val="28"/>
        </w:rPr>
        <w:t xml:space="preserve"> «Молодёжь Копейска» (далее – Программа)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является продолжением программных мероприятий по реализации государственной молодежной политики в городском округе, направленной на создание правовых, экономических и организационных условий для развития личности, поддержки детских и молодежных объединений.</w:t>
      </w:r>
    </w:p>
    <w:p>
      <w:pPr>
        <w:pStyle w:val="NoSpacing"/>
        <w:tabs>
          <w:tab w:val="clear" w:pos="708"/>
          <w:tab w:val="left" w:pos="7886" w:leader="none"/>
        </w:tabs>
        <w:ind w:firstLine="709" w:left="0" w:righ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городском округе заложены организационные основы государственной молодежной политики, отработаны механизмы ее реализации.</w:t>
      </w: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Программа определяет приоритеты и цели муниципальной политики в сфере молодёжной политики в городском округе, их взаимоувязку со стратегическими приоритетами, задачи муниципального управления, способы их эффективного решения (финансовое обеспечение, механизмы реализации, показатели результативности).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Программа направлена на создание на территории городского округа благоприятных условий для формирования гражданско-патриотического и духовно-нравственного воспитания молодёжи, расширение возможностей для эффективной самореализации молодёжи и повышение уровня её потенциала. Объектом Программы является сфера молодёжной политики, реализация муниципальной политики в деятельности отдела по делам молодёжи администрации городского округа (далее – отдел молодёжи).</w:t>
      </w:r>
    </w:p>
    <w:p>
      <w:pPr>
        <w:pStyle w:val="ListParagraph"/>
        <w:tabs>
          <w:tab w:val="clear" w:pos="708"/>
          <w:tab w:val="left" w:pos="20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Главным результатом реализации Программы должно стать улучшение социально-экономического положения молодёжи в городском округе и увеличение степени её вовлеченности в социально-экономическую жизни страны.</w:t>
        <w:tab/>
      </w:r>
    </w:p>
    <w:p>
      <w:pPr>
        <w:pStyle w:val="ListParagraph"/>
        <w:tabs>
          <w:tab w:val="clear" w:pos="708"/>
          <w:tab w:val="left" w:pos="20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взаимоувязке со стратегическими приоритетами</w:t>
      </w:r>
    </w:p>
    <w:p>
      <w:pPr>
        <w:pStyle w:val="ListParagraph"/>
        <w:spacing w:lineRule="auto" w:line="240" w:before="0" w:after="0"/>
        <w:ind w:lef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составлении Программы учтены национальные цели развития Российской Федерации на период до 2030 года и на перспективу до 2036 года в области молодёжной политики, определенные </w:t>
      </w:r>
      <w:hyperlink r:id="rId2" w:tooltip="https://internet.garant.ru/document/redirect/408992634/0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  <w:u w:val="none"/>
          </w:rPr>
  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</w:t>
        </w:r>
      </w:hyperlink>
      <w:r>
        <w:rPr>
          <w:rFonts w:cs="Times New Roman" w:ascii="Times New Roman" w:hAnsi="Times New Roman"/>
          <w:sz w:val="28"/>
          <w:szCs w:val="28"/>
        </w:rPr>
        <w:t>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реализация потенциала каждого человека, развитие его талантов, воспитание патриотичной и социально ответственной личности.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Целевым показателем и задачей, выполнение которой характеризует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 является: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увеличение к 2030 году доли молодых людей, участвующих в проектах и программах, направленных на профессиональное, личностное развитие и патриотическое воспитание , не менее чем до 75 процентов;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к 2030 году доли молодых людей,</w:t>
      </w:r>
      <w:r>
        <w:rPr>
          <w:rFonts w:cs="Times New Roman" w:ascii="Times New Roman" w:hAnsi="Times New Roman"/>
          <w:sz w:val="28"/>
          <w:szCs w:val="28"/>
        </w:rPr>
        <w:t xml:space="preserve"> верящих в возможности самореализации в России, не менее чем до 85 процентов;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к 2030 году доли молодых людей,</w:t>
      </w:r>
      <w:r>
        <w:rPr>
          <w:rFonts w:cs="Times New Roman" w:ascii="Times New Roman" w:hAnsi="Times New Roman"/>
          <w:sz w:val="28"/>
          <w:szCs w:val="28"/>
        </w:rPr>
        <w:t xml:space="preserve"> вовлеченных в добровольческую и общественную деятельность, не менее чем до 45 процентов;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обеспечение к 2030 году функционирования эффективной системы выявления, поддержки и развития способностей и талантов детей и молодёжи, основанной на принципах ответственности, справедливости, всеобщности и направленной на самоопределение и профессиональную ориентацию              100 процентов обучающихся.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Стратегии социально-экономического развития Копейского городского округа на период до 2035 года данные показатели отражены по направлению «Социальная сфера» (далее – Стратегия).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Цель Стратегии: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развитие, модернизация и реформирование социальной сферы.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Задача Стратегии: о</w:t>
      </w:r>
      <w:r>
        <w:rPr>
          <w:rFonts w:eastAsia="Times New Roman" w:cs="Times New Roman" w:ascii="Times New Roman" w:hAnsi="Times New Roman"/>
          <w:sz w:val="28"/>
          <w:szCs w:val="28"/>
        </w:rPr>
        <w:t>беспечение доступности и высокого качества образования всех видов и уровней, воспитание детей и молодежи в соответствии с современными требованиями и потребностями экономики городского округа.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 Стратегией Программа взаимоувязана посредством следующих показателей: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0" w:leader="none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создание условий для реализации интеллектуального, творческого потенциала детей и молодежи, ранней профессиональной ориентации детей и молодежи;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0" w:leader="none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создание условий для гражданского и патриотического становления молодежи</w:t>
      </w:r>
      <w:r>
        <w:rPr>
          <w:rFonts w:eastAsia="Times New Roman" w:cs="Times New Roman" w:ascii="Times New Roman" w:hAnsi="Times New Roman"/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50" w:leader="none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содействие в профессиональной подготовке молодежи и реализации предпринимательских способностей.</w:t>
      </w:r>
    </w:p>
    <w:p>
      <w:pPr>
        <w:pStyle w:val="Normal"/>
        <w:tabs>
          <w:tab w:val="clear" w:pos="708"/>
          <w:tab w:val="left" w:pos="850" w:leader="none"/>
          <w:tab w:val="left" w:pos="992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В государственной программе Челябинской области «Повышение эффективности реализации молодёжной политики в Челябинской области» предусмотрена задача: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С данной задачей Программа взаимоувязана следующими показателями: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доля молодых людей, участвующих в проектах и программах, направленных на патриотическое воспитание</w:t>
      </w:r>
      <w:r>
        <w:rPr>
          <w:rFonts w:eastAsia="Times New Roman" w:cs="Times New Roman" w:ascii="Times New Roman" w:hAnsi="Times New Roman"/>
          <w:sz w:val="28"/>
          <w:szCs w:val="28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доля людей, занимающихся добровольческой (волонтерской) деятельностью;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2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доля молодых людей, вовлеченных в добровольческую и общественную деятельность.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их эффективного решения в сфере молодёжной политики</w:t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sub_1089"/>
      <w:bookmarkEnd w:id="2"/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 делам молодёжи администрации Копейского городского округа Челябинской области (далее – отдел молодёжи администрации округа, округ).</w:t>
      </w:r>
    </w:p>
    <w:p>
      <w:pPr>
        <w:pStyle w:val="ListParagraph"/>
        <w:spacing w:lineRule="auto" w:line="240" w:before="0" w:after="0"/>
        <w:ind w:firstLine="708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Ответственный исполнитель Программы обеспечивает: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9"/>
      <w:bookmarkStart w:id="4" w:name="sub_1090"/>
      <w:bookmarkEnd w:id="3"/>
      <w:bookmarkEnd w:id="4"/>
      <w:r>
        <w:rPr>
          <w:rFonts w:cs="Times New Roman" w:ascii="Times New Roman" w:hAnsi="Times New Roman"/>
          <w:sz w:val="28"/>
          <w:szCs w:val="28"/>
        </w:rPr>
        <w:t>1) текущее управление реализацией Программы;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90"/>
      <w:bookmarkStart w:id="6" w:name="sub_1091"/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91"/>
      <w:bookmarkStart w:id="8" w:name="sub_1092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3) внесение изменений в Программу в установленном порядке;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92"/>
      <w:bookmarkStart w:id="10" w:name="sub_1093"/>
      <w:bookmarkEnd w:id="9"/>
      <w:bookmarkEnd w:id="10"/>
      <w:r>
        <w:rPr>
          <w:rFonts w:cs="Times New Roman" w:ascii="Times New Roman" w:hAnsi="Times New Roman"/>
          <w:sz w:val="28"/>
          <w:szCs w:val="28"/>
        </w:rPr>
        <w:t>4) 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93"/>
      <w:bookmarkStart w:id="12" w:name="sub_1094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>5) уточнение на основе анализа выполнения мероприятий Программы и ее эффективности в текущем году объема средств, необходимых для финансирования Программы в очередном финансовом году;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94"/>
      <w:bookmarkStart w:id="14" w:name="sub_1095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>6) в случае необходимости подготовку предложений по внесению изменений, касающихся объемов бюджетных ассигнований ответственного исполнителя, в решение Собрания депутатов городского округа о бюджете города Копейска на текущий финансовый год и плановый период с обоснованием предложенных изменений;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95"/>
      <w:bookmarkStart w:id="16" w:name="sub_1096"/>
      <w:bookmarkEnd w:id="15"/>
      <w:r>
        <w:rPr>
          <w:rFonts w:cs="Times New Roman" w:ascii="Times New Roman" w:hAnsi="Times New Roman"/>
          <w:sz w:val="28"/>
          <w:szCs w:val="28"/>
        </w:rPr>
        <w:t xml:space="preserve">7) представление в управление экономического развития администрации  городского округа (далее - управление экономического развития) отчета </w:t>
      </w:r>
      <w:bookmarkStart w:id="17" w:name="sub_1097"/>
      <w:bookmarkEnd w:id="16"/>
      <w:r>
        <w:rPr>
          <w:rFonts w:cs="Times New Roman" w:ascii="Times New Roman" w:hAnsi="Times New Roman"/>
          <w:sz w:val="28"/>
          <w:szCs w:val="28"/>
        </w:rPr>
        <w:t xml:space="preserve"> о реализации Программы за полугодие и девять месяцев текущего года (далее – отчетный период), составленный по таблицам согласно приложению 4 к настоящему Порядку, заполняемые нарастающим итогом с начала года, – не позднее 16 числа месяца, следующего за отчетным периодом;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представление в управление экономического развития годового отчета о реализации Программы (далее – годовой отчет) - не позднее 1 марта года, следующего за отчетным годом;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98"/>
      <w:bookmarkEnd w:id="17"/>
      <w:bookmarkEnd w:id="18"/>
      <w:r>
        <w:rPr>
          <w:rFonts w:cs="Times New Roman" w:ascii="Times New Roman" w:hAnsi="Times New Roman"/>
          <w:sz w:val="28"/>
          <w:szCs w:val="28"/>
        </w:rPr>
        <w:t>9) размещение годового отчета о реализации Программы в государственную автоматизированную информационную систему «Управление» не позднее 1 июня года, следующего за отчетным;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98"/>
      <w:bookmarkStart w:id="20" w:name="sub_1099"/>
      <w:bookmarkEnd w:id="19"/>
      <w:bookmarkEnd w:id="20"/>
      <w:r>
        <w:rPr>
          <w:rFonts w:cs="Times New Roman" w:ascii="Times New Roman" w:hAnsi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Программы.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99"/>
      <w:bookmarkEnd w:id="21"/>
      <w:r>
        <w:rPr>
          <w:rFonts w:cs="Times New Roman" w:ascii="Times New Roman" w:hAnsi="Times New Roman"/>
          <w:sz w:val="28"/>
          <w:szCs w:val="28"/>
        </w:rPr>
        <w:t>Ответственный исполнитель, соисполнители и участники Программы несут ответственность за реализацию соответствующих структурных элементов муниципальной программы, выполнение мероприятий (достижение 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</w:p>
    <w:p>
      <w:pPr>
        <w:pStyle w:val="ListParagraph"/>
        <w:spacing w:lineRule="auto" w:line="240" w:before="0" w:after="0"/>
        <w:ind w:firstLine="708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исполнением Программы и общую координацию реализации программных мероприятий осуществляет заместитель Главы городского округа по социальному развитию.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200"/>
        <w:ind w:lef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6"/>
      <w:headerReference w:type="first" r:id="rId7"/>
      <w:type w:val="nextPage"/>
      <w:pgSz w:orient="landscape" w:w="16838" w:h="11906"/>
      <w:pgMar w:left="1134" w:right="1134" w:gutter="0" w:header="709" w:top="170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auto"/>
    <w:pitch w:val="default"/>
  </w:font>
  <w:font w:name="Times New Roman">
    <w:charset w:val="01"/>
    <w:family w:val="auto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auto"/>
    <w:pitch w:val="default"/>
  </w:font>
  <w:font w:name="Times New Roman CYR">
    <w:charset w:val="01"/>
    <w:family w:val="auto"/>
    <w:pitch w:val="default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7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7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7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7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7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7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7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7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40"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 w:bidi="he-IL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Pr>
      <w:rFonts w:ascii="Arial" w:hAnsi="Arial" w:eastAsia="Times New Roman" w:cs="Arial"/>
      <w:b/>
      <w:bCs/>
      <w:sz w:val="26"/>
      <w:szCs w:val="26"/>
      <w:lang w:eastAsia="ru-RU" w:bidi="he-IL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Style6" w:customStyle="1">
    <w:name w:val="Основной текст Знак"/>
    <w:basedOn w:val="DefaultParagraphFont"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1">
    <w:name w:val="Символ сноски"/>
    <w:basedOn w:val="DefaultParagraphFont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ntStyle26" w:customStyle="1">
    <w:name w:val="Font Style26"/>
    <w:basedOn w:val="DefaultParagraphFont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unhideWhenUsed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s1" w:customStyle="1">
    <w:name w:val="s_1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uiPriority w:val="99"/>
    <w:unhideWhenUsed/>
    <w:pPr>
      <w:spacing w:lineRule="auto" w:line="259" w:before="0" w:after="160"/>
    </w:pPr>
    <w:rPr>
      <w:rFonts w:eastAsia="Arial" w:cs="Times New Roman" w:eastAsiaTheme="minorEastAsia"/>
      <w:sz w:val="20"/>
      <w:szCs w:val="20"/>
      <w:lang w:eastAsia="ru-RU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Calibri" w:hAnsi="Calibri" w:eastAsia="Arial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4" w:customStyle="1">
    <w:name w:val="Нормальный (таблица)"/>
    <w:basedOn w:val="Normal"/>
    <w:uiPriority w:val="99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Arial" w:cs="Times New Roman CYR" w:eastAsiaTheme="minorEastAsia"/>
      <w:sz w:val="24"/>
      <w:szCs w:val="24"/>
      <w:lang w:eastAsia="ru-RU"/>
    </w:rPr>
  </w:style>
  <w:style w:type="paragraph" w:styleId="Style15">
    <w:name w:val="Верхний колонтитул слева"/>
    <w:basedOn w:val="Header"/>
    <w:qFormat/>
    <w:pPr/>
    <w:rPr/>
  </w:style>
  <w:style w:type="numbering" w:styleId="Style16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408992634/0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6</Pages>
  <Words>1169</Words>
  <Characters>9008</Characters>
  <CharactersWithSpaces>10151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2024-05-16T03:36:00Z</dcterms:created>
  <dc:creator>Кирилл А. Стамиков</dc:creator>
  <dc:description/>
  <dc:language>ru-RU</dc:language>
  <cp:lastModifiedBy/>
  <dcterms:modified xsi:type="dcterms:W3CDTF">2026-01-13T17:02:59Z</dcterms:modified>
  <cp:revision>31</cp:revision>
  <dc:subject/>
  <dc:title/>
</cp:coreProperties>
</file>