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67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Cs/>
          <w:sz w:val="28"/>
          <w:szCs w:val="28"/>
        </w:rPr>
        <w:t>УТВЕРЖДЕНА</w:t>
        <w:br/>
        <w:t xml:space="preserve">распоряжением администрации </w:t>
      </w:r>
    </w:p>
    <w:p>
      <w:pPr>
        <w:pStyle w:val="Normal"/>
        <w:spacing w:lineRule="auto" w:line="240" w:before="0" w:after="0"/>
        <w:ind w:left="5670"/>
        <w:rPr>
          <w:rFonts w:ascii="Times New Roman" w:hAnsi="Times New Roman" w:cs="Times New Roman"/>
          <w:sz w:val="28"/>
          <w:szCs w:val="28"/>
        </w:rPr>
      </w:pPr>
      <w:bookmarkStart w:id="1" w:name="sub_1000"/>
      <w:r>
        <w:rPr>
          <w:rFonts w:cs="Times New Roman" w:ascii="Times New Roman" w:hAnsi="Times New Roman"/>
          <w:bCs/>
          <w:sz w:val="28"/>
          <w:szCs w:val="28"/>
        </w:rPr>
        <w:t>Копейского городского округа</w:t>
        <w:br/>
        <w:t>от 13.11.2024 №</w:t>
      </w:r>
      <w:bookmarkEnd w:id="1"/>
      <w:r>
        <w:rPr>
          <w:rFonts w:cs="Times New Roman" w:ascii="Times New Roman" w:hAnsi="Times New Roman"/>
          <w:bCs/>
          <w:sz w:val="28"/>
          <w:szCs w:val="28"/>
        </w:rPr>
        <w:t xml:space="preserve"> 925-р </w:t>
      </w:r>
    </w:p>
    <w:p>
      <w:pPr>
        <w:pStyle w:val="Normal"/>
        <w:spacing w:lineRule="auto" w:line="240" w:before="0"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(в редакции распоряжения администрации Копейского городского округа                              от </w:t>
      </w:r>
      <w:r>
        <w:rPr>
          <w:rFonts w:cs="Times New Roman" w:ascii="Times New Roman" w:hAnsi="Times New Roman"/>
          <w:bCs/>
          <w:sz w:val="28"/>
          <w:szCs w:val="28"/>
          <w:u w:val="single"/>
        </w:rPr>
        <w:t xml:space="preserve">09.02.2026 </w:t>
      </w:r>
      <w:r>
        <w:rPr>
          <w:rFonts w:cs="Times New Roman" w:ascii="Times New Roman" w:hAnsi="Times New Roman"/>
          <w:bCs/>
          <w:sz w:val="28"/>
          <w:szCs w:val="28"/>
          <w:u w:val="single"/>
        </w:rPr>
        <w:t>№</w:t>
      </w:r>
      <w:r>
        <w:rPr>
          <w:rFonts w:cs="Times New Roman" w:ascii="Times New Roman" w:hAnsi="Times New Roman"/>
          <w:bCs/>
          <w:sz w:val="28"/>
          <w:szCs w:val="28"/>
          <w:u w:val="single"/>
        </w:rPr>
        <w:t>86-р</w:t>
      </w:r>
      <w:r>
        <w:rPr>
          <w:rFonts w:cs="Times New Roman" w:ascii="Times New Roman" w:hAnsi="Times New Roman"/>
          <w:bCs/>
          <w:sz w:val="28"/>
          <w:szCs w:val="28"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567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Муниципальная 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«Охрана окружающей среды в Копейском городском округе»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(далее – муниципальная программа)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I. Оценка текущего состояния сферы реализации муниципальной программы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Муниципальное образование «Копейский городской округ» (далее - муниципальное образование, Копейск) расположено в северо-восточной части Челябинской области и охватывает территорию в 35576 гектаров. Копейский городской округ (далее – городской округ) находится в котловине, открытой с юга, территория вытянута в длину на 65 километров.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Городской округ граничит: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западе с областным центром г. Челябинск (протяженность границ 30,7 километров) и Сосновским муниципальным районом (протяженность границ 5,19 километров);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севере и востоке с Красноармейским муниципальным районом (протяженность границ 61,71 километров);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юге с Еткульским муниципальным районом (протяженность границ 16,48 километров);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юго-западе с Коркинским муниципальным районом (протяженность границ - 20,74 километров).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Климат Копейска носит умеренно-континентальный характер.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Повышенная влажность смягчает морозы зимой и повышает температуру в городе на 3 - 5 градусов по сравнению с прилегающими территориями, а летом понижает ее за счет интенсивного испарения озер, что, кроме того, способствует быстрой очистке атмосферного воздуха от загрязнения.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Пониженный рельеф города защищает его от сквозных северных ветров, но не препятствует проникновению южных.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городского округа семь озер, множество искусственных водоемов. Занято лесами 4982,2 га территории городского округа.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Городской округ имеет уникальный ландшафт, который характеризуется неоднородностью территории и включает в себя промышленные, сельскохозяйственные и рекреационные земли, городскую застройку и сельские поселения. Кроме того, после ликвидации шахт и разрезов высвободились обширные территории бывших горных отводов, имеющие нарушенный техногенными процессами рельеф с резкими перепадами между искусственными возвышенностями, равнинами и глубокими карьерами.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Муниципальное образование обладает высоким экономическим потенциалом, имеются практически все необходимые для жизнедеятельности города виды производств.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Обеспечение экологической безопасности на территории муниципального образования является одним из важных факторов реализации конституционного права граждан на благоприятную окружающую среду, а также необходимым условием улучшения качества жизни и здоровья населения. Высокое качество жизни и здоровья населения, а также устойчивое экономическое развитие городского округа могут быть обеспечены только при условии сохранения природных систем и поддержания соответствующего качества окружающей среды. Для этого необходимо формировать и последовательно реализовывать единую политику в области экологии, направленную на охрану окружающей среды.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связи с этим возрастает актуальность разработки и реализации мер по улучшению качества окружающей среды, проведению воспитательной и образовательной работы с населением городского округа.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 период с 2020 года по 2024 год ежегодное финансирование мероприятий муниципальной программы за счет средств бюджета городского округа увеличилось с 7,5 млн руб. до 25,0 млн руб.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Муниципальная программа предусматривает реализацию природоохранной деятельности, направленной на постепенное улучшение экологической обстановки.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Муниципальная программа содержит комплекс мероприятий, направленных на решение приоритетных задач в сфере охраны окружающей среды на территории городского округа, осуществление которых будет способствовать обеспечению экологической безопасности, устойчивому функционированию естественных экологических систем. Обеспечение экологической безопасности осуществляется с помощью системы мер, направленных на снижение негативного воздействия на окружающую среду и повышение защищенности человека, общества и окружающей среды.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II. Описание приоритетов и целей муниципальной политики в сфере реализации муниципальной программы (в том числе в соответствии со Стратегией социально-экономического развития Копейского городского округа на период </w:t>
        <w:br/>
        <w:t>до 2035 года)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Приоритеты и цели муниципальной политики в сфере реализации муниципальной программы определены исходя из целей и приоритетов государственной политики в сфере экологии и соответствуют следующей цели, определенной в Стратегии социально-экономического развития Копейского городского округа Челябинской области до 2035 года, утвержденной решением Собрания депутатов Копейского городского округа от 19.12.2018 № 635-МО (в редакции решения Собрания депутатов Копейского городского округа от 30.11.2022 № 647-МО) (далее - Стратегия-2035):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«Сохранение благоприятной окружающей среды».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Основная цель муниципальной программы –</w:t>
      </w:r>
      <w:r>
        <w:rPr>
          <w:rFonts w:cs="Times New Roman" w:ascii="Times New Roman" w:hAnsi="Times New Roman"/>
          <w:sz w:val="28"/>
          <w:szCs w:val="28"/>
          <w:lang w:val="en-US"/>
        </w:rPr>
        <w:t> </w:t>
      </w:r>
      <w:r>
        <w:rPr>
          <w:rFonts w:cs="Times New Roman" w:ascii="Times New Roman" w:hAnsi="Times New Roman"/>
          <w:sz w:val="28"/>
          <w:szCs w:val="28"/>
        </w:rPr>
        <w:t>создание благоприятных санитарно-экологических условий проживания населения городского округа.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приоритетами и целями муниципальной политики в сфере охраны окружающей среды являются решение социально-экономических задач, обеспечивающих экологически ориентированный рост экономики, сохранение благоприятной окружающей среды для населения на территории города Копейска с целью реализации права каждого человека на благоприятную окружающую среду.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III. Сведения о взаимоувязке со стратегическими приоритетами, целями и показателями государственных программ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Программные мероприятия реализуются в рамках направления 4 «Экология» (задачи «Создание и использование комплексной системы обращения с твердыми коммунальными отходами и отходами промышленных предприятий», «Увеличение площади зеленых насаждений») Стратегии - 2035. Показатели муниципальной программы коррелируются с показателями, указанными в Стратегии-2035:</w:t>
      </w:r>
    </w:p>
    <w:p>
      <w:pPr>
        <w:pStyle w:val="Normal"/>
        <w:spacing w:lineRule="auto" w:line="240" w:before="0"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обеспеченность контейнерным сбором мусора;</w:t>
      </w:r>
    </w:p>
    <w:p>
      <w:pPr>
        <w:pStyle w:val="Normal"/>
        <w:spacing w:lineRule="auto" w:line="240" w:before="0"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обеспеченность контейнерными площадками.</w:t>
      </w:r>
      <w:bookmarkStart w:id="2" w:name="_GoBack_Копия_1"/>
      <w:bookmarkEnd w:id="2"/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Настоящая муниципальная программа реализуется с учетом достижения стратегических приоритетов и целей исполнения национального проекта «Экологическое благополучие», в том числе регионального проекта «Экономика замкнутого цикла (Челябинская область)», с учетом следующих мероприятий: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приобретение контейнеров для накопления ТКО с целью установки на контейнерных площадках на территории городского округа;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обеспечение контейнерным сбором образующихся в жилом фонде ТКО, в том числе создание и (или) оборудование мест (площадок) накопления ТКО для организации сбора ТКО от населения в индивидуальном жилищном фонде на территории городского округа.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IV. Задачи муниципального управления, способы их эффективного решения в соответствующей отрасли экономики и сфере муниципального управления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Цель муниципальной программы – создание благоприятных санитарно-экологических условий проживания населения городского округа. Для её достижения поставлены и решаются следующие задачи: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Задача   1. Охрана и содержание зеленого фонда городского округа.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Задача 2. Улучшение санитарно-экологического состояния территории городского округа за счет внедрения комплексной системы управления ТКО и вторичными ресурсами. Очистка территории городского округа от захламления отходами производства, потребления, иными видами отходов.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Задача 3. Обустройство мест (площадок) накопления твердых коммунальных отходов жилого фонда.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Ответственный исполнитель муниципальной программы обеспечивает: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текущее управление реализацией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достижение утвержденных значений целевых индикаторов, ожидаемых результатов реализации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внесение изменений в муниципальную программу в установленном порядке;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4) ежегодное уточнение с учетом выделенных на реализацию муниципальной программы финансовых средств целевых индикаторов и показателей ожидаемых результатов исполнения мероприятий муниципальной программы, затрат по программным мероприятиям, механизмов реализации муниципальной 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5) уточнение на основе анализа выполнения мероприятий муниципальной программы и ее эффективности в текущем году объема средств, необходимых для финансирования муниципальной программы в очередном финансовом году;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6) в случае необходимости подготовку предложений по внесению изменений, касающихся объемов бюджетных ассигнований ответственного исполнителя, в решение Собрания депутатов Копейского городского округа о бюджете города Копейска на текущий финансовый год и плановый период с обоснованием предложенных изменений;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7) представление в управление экономического развития администрации городского округа (далее - управление экономического развития) отчета о реализации муниципальной программы за полугодие и девять месяцев текущего года (далее – отчетный период) – не позднее 16 числа месяца, следующего за отчетным периодом;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8) представление в управление экономического развития годового отчета о реализации муниципальной программы (далее – годовой отчет) - не позднее 1 марта года, следующего за отчетным годом;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9) размещение годового отчета о реализации муниципальной программы в государственную автоматизированную информационную систему «Управление» не позднее 1 июня года, следующего за отчетным;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10) представление по запросу управления экономического развития иной дополнительной (уточненной) информации о ходе реализации муниципальной программы.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Ответственный исполнитель, соисполнители и участники муниципальной программы несут ответственность за реализацию соответствующих структурных элементов муниципальной программы, выполнение мероприятий (достижение результатов), достижение соответствующих показателей муниципальной программы и ее структурных элементов, а также полноту и достоверность сведений, представляемых для подготовки годового отчета о ходе реализации и об оценке эффективности реализации муниципальной программы.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Контроль за исполнением муниципальной программы и общую координацию реализации программных мероприятий осуществляет заместитель Главы городского округа по жилищно-коммунальным вопросам.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09" w:top="1134" w:footer="0" w:bottom="1134"/>
      <w:pgNumType w:start="1" w:fmt="decimal"/>
      <w:formProt w:val="false"/>
      <w:titlePg/>
      <w:textDirection w:val="lrTb"/>
      <w:docGrid w:type="default" w:linePitch="36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046481282"/>
    </w:sdtPr>
    <w:sdtContent>
      <w:p>
        <w:pPr>
          <w:pStyle w:val="12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1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442f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12"/>
    <w:uiPriority w:val="99"/>
    <w:qFormat/>
    <w:rsid w:val="009629ce"/>
    <w:rPr/>
  </w:style>
  <w:style w:type="character" w:styleId="Style15" w:customStyle="1">
    <w:name w:val="Нижний колонтитул Знак"/>
    <w:basedOn w:val="DefaultParagraphFont"/>
    <w:link w:val="13"/>
    <w:uiPriority w:val="99"/>
    <w:qFormat/>
    <w:rsid w:val="009629ce"/>
    <w:rPr/>
  </w:style>
  <w:style w:type="paragraph" w:styleId="Style16" w:customStyle="1">
    <w:name w:val="Заголовок"/>
    <w:basedOn w:val="Normal"/>
    <w:next w:val="BodyText"/>
    <w:qFormat/>
    <w:rsid w:val="00e442f3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e442f3"/>
    <w:pPr>
      <w:spacing w:before="0" w:after="140"/>
    </w:pPr>
    <w:rPr/>
  </w:style>
  <w:style w:type="paragraph" w:styleId="List">
    <w:name w:val="List"/>
    <w:basedOn w:val="BodyText"/>
    <w:rsid w:val="00e442f3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e442f3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e442f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1" w:customStyle="1">
    <w:name w:val="Заголовок1"/>
    <w:basedOn w:val="Normal"/>
    <w:next w:val="BodyText"/>
    <w:qFormat/>
    <w:rsid w:val="00e442f3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rsid w:val="00e442f3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 w:customStyle="1">
    <w:name w:val="Колонтитул"/>
    <w:basedOn w:val="Normal"/>
    <w:qFormat/>
    <w:rsid w:val="00e442f3"/>
    <w:pPr/>
    <w:rPr/>
  </w:style>
  <w:style w:type="paragraph" w:styleId="12" w:customStyle="1">
    <w:name w:val="Верхний колонтитул1"/>
    <w:basedOn w:val="Normal"/>
    <w:link w:val="Style14"/>
    <w:uiPriority w:val="99"/>
    <w:unhideWhenUsed/>
    <w:qFormat/>
    <w:rsid w:val="009629c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3" w:customStyle="1">
    <w:name w:val="Нижний колонтитул1"/>
    <w:basedOn w:val="Normal"/>
    <w:link w:val="Style15"/>
    <w:uiPriority w:val="99"/>
    <w:unhideWhenUsed/>
    <w:qFormat/>
    <w:rsid w:val="009629ce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d5150"/>
    <w:pPr>
      <w:suppressAutoHyphens w:val="false"/>
      <w:spacing w:before="0" w:after="200"/>
      <w:ind w:left="720"/>
      <w:contextualSpacing/>
    </w:pPr>
    <w:rPr/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EFCF5-B1AE-4907-8313-4FC97AB8D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5</Pages>
  <Words>1144</Words>
  <Characters>8753</Characters>
  <CharactersWithSpaces>9885</CharactersWithSpaces>
  <Paragraphs>55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2026-02-09T05:08:00Z</dcterms:created>
  <dc:creator>Кирилл А. Стамиков</dc:creator>
  <dc:description/>
  <dc:language>ru-RU</dc:language>
  <cp:lastModifiedBy/>
  <cp:lastPrinted>2025-02-03T10:48:00Z</cp:lastPrinted>
  <dcterms:modified xsi:type="dcterms:W3CDTF">2026-02-09T10:10:51Z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