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bookmarkStart w:id="0" w:name="_GoBack"/>
      <w:bookmarkEnd w:id="0"/>
      <w:r>
        <w:rPr>
          <w:color w:val="auto"/>
          <w:sz w:val="26"/>
          <w:szCs w:val="26"/>
        </w:rPr>
        <w:t xml:space="preserve">                                                                              </w:t>
      </w:r>
      <w:r>
        <w:rPr>
          <w:color w:val="auto"/>
          <w:sz w:val="26"/>
          <w:szCs w:val="26"/>
        </w:rPr>
        <w:t>УТВЕРЖДЕНА</w:t>
      </w:r>
    </w:p>
    <w:p>
      <w:pPr>
        <w:pStyle w:val="Normal"/>
        <w:rPr/>
      </w:pPr>
      <w:r>
        <w:rPr>
          <w:color w:val="auto"/>
          <w:sz w:val="26"/>
          <w:szCs w:val="26"/>
        </w:rPr>
        <w:t xml:space="preserve">                                                                              </w:t>
      </w:r>
      <w:r>
        <w:rPr>
          <w:color w:val="auto"/>
          <w:sz w:val="26"/>
          <w:szCs w:val="26"/>
        </w:rPr>
        <w:t xml:space="preserve">распоряжением администрации </w:t>
        <w:tab/>
        <w:tab/>
        <w:tab/>
        <w:tab/>
        <w:tab/>
        <w:tab/>
        <w:tab/>
        <w:tab/>
        <w:t xml:space="preserve">  Копейского городского округа</w:t>
      </w:r>
    </w:p>
    <w:p>
      <w:pPr>
        <w:pStyle w:val="Normal"/>
        <w:jc w:val="center"/>
        <w:rPr/>
      </w:pPr>
      <w:r>
        <w:rPr>
          <w:color w:val="auto"/>
          <w:sz w:val="26"/>
          <w:szCs w:val="26"/>
        </w:rPr>
        <w:t xml:space="preserve">                                                   </w:t>
      </w:r>
      <w:r>
        <w:rPr>
          <w:color w:val="auto"/>
          <w:sz w:val="26"/>
          <w:szCs w:val="26"/>
        </w:rPr>
        <w:t>от 30.10.2024 № 863-р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4677" w:leader="none"/>
          <w:tab w:val="right" w:pos="9355" w:leader="none"/>
        </w:tabs>
        <w:outlineLvl w:val="0"/>
        <w:rPr/>
      </w:pPr>
      <w:r>
        <w:rPr>
          <w:color w:val="auto"/>
          <w:sz w:val="26"/>
          <w:szCs w:val="26"/>
        </w:rPr>
        <w:tab/>
        <w:t xml:space="preserve">                                                         (в редакции распоряжения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4677" w:leader="none"/>
          <w:tab w:val="right" w:pos="9355" w:leader="none"/>
        </w:tabs>
        <w:outlineLvl w:val="0"/>
        <w:rPr/>
      </w:pPr>
      <w:r>
        <w:rPr>
          <w:color w:val="auto"/>
          <w:sz w:val="26"/>
          <w:szCs w:val="26"/>
        </w:rPr>
        <w:t xml:space="preserve">                                                                              </w:t>
      </w:r>
      <w:r>
        <w:rPr>
          <w:color w:val="auto"/>
          <w:sz w:val="26"/>
          <w:szCs w:val="26"/>
        </w:rPr>
        <w:t>администрации</w:t>
      </w:r>
      <w:r>
        <w:rPr/>
        <w:t xml:space="preserve"> Копейского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4677" w:leader="none"/>
          <w:tab w:val="right" w:pos="9355" w:leader="none"/>
        </w:tabs>
        <w:outlineLvl w:val="0"/>
        <w:rPr/>
      </w:pPr>
      <w:r>
        <w:rPr/>
        <w:t xml:space="preserve">                                                                                     </w:t>
      </w:r>
      <w:r>
        <w:rPr/>
        <w:t>городского округа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4677" w:leader="none"/>
          <w:tab w:val="right" w:pos="9355" w:leader="none"/>
        </w:tabs>
        <w:outlineLvl w:val="0"/>
        <w:rPr>
          <w:color w:val="auto"/>
          <w:sz w:val="26"/>
          <w:szCs w:val="26"/>
        </w:rPr>
      </w:pPr>
      <w:r>
        <w:rPr/>
        <w:t xml:space="preserve">                                                                                     </w:t>
      </w:r>
      <w:r>
        <w:rPr/>
        <w:t>От</w:t>
      </w:r>
      <w:r>
        <w:rPr>
          <w:u w:val="single"/>
        </w:rPr>
        <w:t xml:space="preserve"> </w:t>
      </w:r>
      <w:r>
        <w:rPr>
          <w:u w:val="single"/>
        </w:rPr>
        <w:t xml:space="preserve">11.02.2026 </w:t>
      </w:r>
      <w:r>
        <w:rPr>
          <w:u w:val="single"/>
        </w:rPr>
        <w:t>№</w:t>
      </w:r>
      <w:r>
        <w:rPr>
          <w:u w:val="single"/>
        </w:rPr>
        <w:t>109-р</w:t>
      </w:r>
      <w:r>
        <w:rPr/>
        <w:t>)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BodyText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BodyText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BodyText2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Муниципальная программа</w:t>
      </w:r>
    </w:p>
    <w:p>
      <w:pPr>
        <w:pStyle w:val="BodyText2"/>
        <w:jc w:val="center"/>
        <w:rPr>
          <w:sz w:val="26"/>
          <w:szCs w:val="26"/>
        </w:rPr>
      </w:pPr>
      <w:r>
        <w:rPr>
          <w:sz w:val="26"/>
          <w:szCs w:val="26"/>
        </w:rPr>
        <w:t>«Переселение граждан из аварийного жилищного фонда, признанного таковым с 1 января 2017 года, в Копейском городском округе»</w:t>
      </w:r>
    </w:p>
    <w:p>
      <w:pPr>
        <w:pStyle w:val="Normal"/>
        <w:ind w:firstLine="709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ind w:firstLine="709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ind w:firstLine="709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  <w:lang w:val="en-US"/>
        </w:rPr>
        <w:t>I</w:t>
      </w:r>
      <w:r>
        <w:rPr>
          <w:color w:val="auto"/>
          <w:sz w:val="26"/>
          <w:szCs w:val="26"/>
        </w:rPr>
        <w:t>. Оценка текущего состояния аварийного и непригодного жилищного фонда на территории Копейского городского округа</w:t>
      </w:r>
    </w:p>
    <w:p>
      <w:pPr>
        <w:pStyle w:val="Normal"/>
        <w:ind w:firstLine="709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Spacing"/>
        <w:numPr>
          <w:ilvl w:val="0"/>
          <w:numId w:val="3"/>
        </w:numPr>
        <w:ind w:firstLine="709"/>
        <w:jc w:val="both"/>
        <w:rPr/>
      </w:pPr>
      <w:r>
        <w:rPr>
          <w:color w:val="auto"/>
          <w:sz w:val="26"/>
          <w:szCs w:val="26"/>
        </w:rPr>
        <w:t>Обеспечение доступным и комфортным жильем остается одним из самых актуальных вопросов для большинства граждан Российской Федерации, в том числе и для жителей Копейского городского округа (далее – округ).</w:t>
      </w:r>
    </w:p>
    <w:p>
      <w:pPr>
        <w:pStyle w:val="NoSpacing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Одним из приоритетов национальной жилищной политики Российской Федерации является обеспечение граждан безопасными и комфортными условиями проживания.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 xml:space="preserve">До конца 2030 года планируется снизить суммарную площадь жилищного фонда, признанного аварийным и подлежащим сносу, внести 100 процентов аварийного жилого фонда в цифровой реестр аварийного жилья. 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ликвидации аварийного жилищного фонда начиная с 2008 года реализуются программы по переселению граждан из аварийного жилищного фонда с участием средств Фонда.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 период 2013-2024 годов на территории округа ликвидирован жилищный фонд, признанный аварийным по состоянию на 01 января 2017 года.</w:t>
      </w:r>
    </w:p>
    <w:p>
      <w:pPr>
        <w:pStyle w:val="NoSpacing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Основным фактором, препятствующим устойчивому сокращению непригодного для проживания жилищного фонда, является ежегодный прирост и, соответственно, накопление жилищного фонда, который признается аварийным по итогам его обследования.</w:t>
      </w:r>
    </w:p>
    <w:p>
      <w:pPr>
        <w:pStyle w:val="NoSpacing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Spacing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</w:p>
    <w:p>
      <w:pPr>
        <w:pStyle w:val="Normal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  <w:lang w:val="en-US"/>
        </w:rPr>
        <w:t>II</w:t>
      </w:r>
      <w:r>
        <w:rPr>
          <w:color w:val="auto"/>
          <w:sz w:val="26"/>
          <w:szCs w:val="26"/>
        </w:rPr>
        <w:t xml:space="preserve">. </w:t>
      </w:r>
      <w:r>
        <w:rPr>
          <w:sz w:val="26"/>
          <w:szCs w:val="26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>
      <w:pPr>
        <w:pStyle w:val="HTMLPreformatte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keepNext w:val="false"/>
        <w:keepLines w:val="false"/>
        <w:widowControl w:val="false"/>
        <w:tabs>
          <w:tab w:val="left" w:pos="0" w:leader="none"/>
          <w:tab w:val="left" w:pos="1134" w:leader="none"/>
        </w:tabs>
        <w:spacing w:lineRule="auto" w:line="24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2. Наличие для граждан возможности улучшения жилищных условий является важным показателем повышения благосостояния населения Челябинской области, предпосылкой социальной и экономической стабильности государства, поэтому решение жилищной проблемы является одним из приоритетов государственной политики в Российской Федерации и Челябинской области. Одной из важнейших проблем жилищно-коммунальной реформы является проблема ликвидации аварийного жилищного фонда. Его наличие не только ухудшает внешний облик, понижает инвестиционную привлекательность населенных пунктов и сдерживает развитие инфраструктуры, но и создает потенциальную угрозу безопасности и комфортности проживания граждан, ухудшает качество предоставляемых коммунальных услуг, повышает социальную напряженность в обществе.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 территории округа площадь жилищного фонда, признанного аварийным в период с 01 января 2017 года, составляет более 100 тыс. кв. метров.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34" w:leader="none"/>
        </w:tabs>
        <w:ind w:firstLine="709"/>
        <w:jc w:val="both"/>
        <w:rPr/>
      </w:pPr>
      <w:r>
        <w:rPr>
          <w:sz w:val="26"/>
          <w:szCs w:val="26"/>
        </w:rPr>
        <w:t xml:space="preserve">В рамках настоящей муниципальной программы разработаны мероприятия в соответствии с «Областной адресной программой по переселению граждан из аварийного жилищного фонда, признанного таковым с 1 января 2017 года,                 в Челябинской области», утвержденной постановлением Правительства Челябинской области от 27.06.2024 № 399-П, которые являются продолжением мероприятий, осуществляемых в рамках областной адресной программы «Переселение в 2019-2023 годах граждан из аварийного жилищного фонда в городах и районах Челябинской области», утвержденной постановлением Правительства Челябинской области от 29.03.2019 № 158-П. 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Настоящая муниципальная программа направлена на продолжение преобразований в жилищной сфере и обусловлена необходимостью: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698" w:left="0"/>
        <w:jc w:val="both"/>
        <w:rPr>
          <w:sz w:val="26"/>
          <w:szCs w:val="26"/>
        </w:rPr>
      </w:pPr>
      <w:r>
        <w:rPr>
          <w:sz w:val="26"/>
          <w:szCs w:val="26"/>
        </w:rPr>
        <w:t>развития конкуренции на рынке жилья, включая реализацию мер по поддержке жилищного строительства в части обеспечения земельных участков объектами коммунальной инфраструктуры. Поскольку часть земельных участков под жилищное строительство будет сформирована и обеспечена объектами коммунальной инфраструктуры на территориях, занимаемых в настоящее время ветхим и аварийным жилищным фондом, мероприятия муниципальной программы будут способствовать решению проблемы ликвидации жилищного фонда, непригодного для проживания;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ind w:firstLine="698" w:left="0"/>
        <w:jc w:val="both"/>
        <w:rPr>
          <w:sz w:val="26"/>
          <w:szCs w:val="26"/>
        </w:rPr>
      </w:pPr>
      <w:r>
        <w:rPr>
          <w:sz w:val="26"/>
          <w:szCs w:val="26"/>
        </w:rPr>
        <w:t>повышения доступности жилья для граждан, проживающих в МКД, признанных аварийными и подлежащими сносу.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Настоящая муниципальная программа действует в рамках: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национального проекта «Инфраструктура для жизни» в части регионального проекта «Жилье»</w:t>
      </w:r>
      <w:r>
        <w:rPr/>
        <w:t>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Областной адресной программы по переселению граждан из аварийного жилищного фонда, признанного таковым с 1 января 2017 года, в Челябинской области, утвержденной постановлением Правительства Челябинской области                 от 27.06.2024 № 399-П.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Объектом рассмотрения муниципальной программы является жилищный фонд как совокупность жилых помещений многоквартирных домов, признанных аварийными и подлежащими сносу с 01 января 2017 года.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 Для создания условий улучшения гражданами жилищных условий требуется совершенствование законодательной и нормативной правовой базы в жилищном секторе. Необходимость ускоренного перехода к устойчивому функционированию и развитию жилищной сферы определяет целесообразность использования программно-целевого метода для решения указанных проблем, поскольку они: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before="0" w:after="0"/>
        <w:ind w:firstLine="709"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носят межотраслевой и межведомственный характер и не могут быть решены без участия федерального центра;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before="0" w:after="0"/>
        <w:ind w:firstLine="709"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 могут быть решены в пределах одного финансового года и требуют значительных бюджетных расходов до 2030 года включительно;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before="0" w:after="0"/>
        <w:ind w:firstLine="709"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носят комплексный характер, а их решение окажет существенное положительное влияние на социальное благополучие общества, общее экономическое развитие.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 Перечень многоквартирных домов, признанных аварийными и подлежащих расселению, приведен в приложении 2 к муниципальной программе.</w:t>
      </w:r>
    </w:p>
    <w:p>
      <w:pPr>
        <w:pStyle w:val="HTMLPreformatte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TMLPreformatte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>
        <w:rPr>
          <w:sz w:val="26"/>
          <w:szCs w:val="26"/>
          <w:shd w:fill="FFFFFF" w:val="clear"/>
          <w:lang w:val="en-US"/>
        </w:rPr>
        <w:t>III</w:t>
      </w:r>
      <w:r>
        <w:rPr>
          <w:sz w:val="26"/>
          <w:szCs w:val="26"/>
          <w:shd w:fill="FFFFFF" w:val="clear"/>
        </w:rPr>
        <w:t>. Сведения о взаимоувязке со стратегическими приоритетами, целями  и показателями государственных программ</w:t>
      </w:r>
    </w:p>
    <w:p>
      <w:pPr>
        <w:pStyle w:val="HTMLPreformatte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720" w:leader="none"/>
          <w:tab w:val="left" w:pos="1134" w:leader="none"/>
          <w:tab w:val="left" w:pos="3420" w:leader="none"/>
          <w:tab w:val="left" w:pos="5040" w:leader="none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9. Цель, задачи и сроки реализации муниципальной программы сформированы с учетом национальных целей развития на период до 2030 года, определенных Указом Президента Российской Федерации от 07.05.2024                   № 309, и Единого плана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                             от 01.10.2021 № 2765-р.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рамках реализации муниципальной программы обеспечена взаимосвязь с национальными целями «Комфортная и безопасная среда для жизни», «Цифровая трансформация государственного и муниципального управления, экономики и социальной сферы», показателями, установленными Указом Президента Российской Федерации от 04.02.2021 № 68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Федерации», а также </w:t>
      </w:r>
      <w:r>
        <w:rPr>
          <w:sz w:val="26"/>
          <w:szCs w:val="26"/>
          <w:shd w:fill="FFFFFF" w:val="clear"/>
        </w:rPr>
        <w:t xml:space="preserve">Стратегией социально-экономического развития Копейского городского округа на период до 2035 года, утвержденной решением Собрания депутатов округа              от 19.12.2018 № 635-МО (далее – Стратегия). </w:t>
      </w:r>
      <w:r>
        <w:rPr>
          <w:color w:val="auto"/>
          <w:sz w:val="26"/>
          <w:szCs w:val="26"/>
        </w:rPr>
        <w:t>С</w:t>
      </w:r>
      <w:r>
        <w:rPr>
          <w:sz w:val="26"/>
          <w:szCs w:val="26"/>
          <w:shd w:fill="FFFFFF" w:val="clear"/>
        </w:rPr>
        <w:t>тратегией предусмотрены мероприятия</w:t>
      </w:r>
      <w:r>
        <w:rPr>
          <w:color w:val="auto"/>
          <w:sz w:val="26"/>
          <w:szCs w:val="26"/>
        </w:rPr>
        <w:t xml:space="preserve"> по ликвидации аварийного жилищного фонда на территории округа. 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С целью снижения количества аварийного жилищного фонда округ активно участвует в государственных и областных программах, направленных на переселение граждан из аварийных домов.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  <w:tab w:val="left" w:pos="3420" w:leader="none"/>
          <w:tab w:val="left" w:pos="504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 Основной целью муниципальной программы является сокращение аварийного жилищного фонда.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center"/>
        <w:rPr>
          <w:color w:val="auto"/>
          <w:sz w:val="26"/>
          <w:szCs w:val="26"/>
        </w:rPr>
      </w:pPr>
      <w:r>
        <w:rPr>
          <w:sz w:val="26"/>
          <w:szCs w:val="26"/>
          <w:shd w:fill="FFFFFF" w:val="clear"/>
          <w:lang w:val="en-US"/>
        </w:rPr>
        <w:t>IV</w:t>
      </w:r>
      <w:r>
        <w:rPr>
          <w:sz w:val="26"/>
          <w:szCs w:val="26"/>
          <w:shd w:fill="FFFFFF" w:val="clear"/>
        </w:rPr>
        <w:t>. Задачи муниципального управления, способы их эффективного решения</w:t>
      </w:r>
    </w:p>
    <w:p>
      <w:pPr>
        <w:pStyle w:val="Normal"/>
        <w:ind w:firstLine="709"/>
        <w:jc w:val="center"/>
        <w:rPr>
          <w:color w:val="auto"/>
          <w:sz w:val="26"/>
          <w:szCs w:val="26"/>
        </w:rPr>
      </w:pPr>
      <w:r>
        <w:rPr>
          <w:sz w:val="26"/>
          <w:szCs w:val="26"/>
          <w:shd w:fill="FFFFFF" w:val="clear"/>
        </w:rPr>
        <w:t xml:space="preserve"> </w:t>
      </w:r>
      <w:r>
        <w:rPr>
          <w:sz w:val="26"/>
          <w:szCs w:val="26"/>
          <w:shd w:fill="FFFFFF" w:val="clear"/>
        </w:rPr>
        <w:t xml:space="preserve">в </w:t>
      </w:r>
      <w:r>
        <w:rPr>
          <w:bCs w:val="false"/>
          <w:color w:val="auto"/>
          <w:spacing w:val="-1"/>
          <w:sz w:val="26"/>
          <w:szCs w:val="26"/>
        </w:rPr>
        <w:t>соответствующей отрасли экономики и сфере муниципального управления</w:t>
      </w:r>
    </w:p>
    <w:p>
      <w:pPr>
        <w:pStyle w:val="Normal"/>
        <w:ind w:firstLine="709"/>
        <w:jc w:val="both"/>
        <w:rPr>
          <w:color w:val="auto"/>
          <w:spacing w:val="-1"/>
          <w:sz w:val="26"/>
          <w:szCs w:val="26"/>
        </w:rPr>
      </w:pPr>
      <w:r>
        <w:rPr>
          <w:color w:val="auto"/>
          <w:spacing w:val="-1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11. Для достижения поставленной цели определены основные задачи муниципальной программы: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переселение жителей МКД, признанных аварийными и подлежащими сносу или реконструкции;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выполнения показателей регионального проекта «Жилье» Национального проекта «Инфраструктура для жизни».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 На I этапе реализации муниципальной программы: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орган местного самоуправления в порядке, установленном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проводит торги на выполнение работ по строительству жилых многоквартирных домов и домов, перечисленных в пунктах 2 и 3 части 2 статьи 49 Градостроительного кодекса Российской Федерации, или на приобретение у собственников жилых помещений в таких домах;</w:t>
      </w:r>
    </w:p>
    <w:p>
      <w:pPr>
        <w:pStyle w:val="Normal"/>
        <w:widowControl w:val="false"/>
        <w:numPr>
          <w:ilvl w:val="0"/>
          <w:numId w:val="6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орган местного самоуправления заключает муниципальные контракты с застройщиками на строительство жилых многоквартирных домов, в том числе долевое или на приобретение жилых помещений, в том числе на вторичном рынке по цене, определяемой в соответствии с Федеральным законом                                   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Начальная (максимальная) цена указанных государственных и муниципальных контрактов определяется в соответствии со </w:t>
      </w:r>
      <w:hyperlink r:id="rId2">
        <w:r>
          <w:rPr>
            <w:rStyle w:val="Style1"/>
            <w:sz w:val="26"/>
            <w:szCs w:val="26"/>
          </w:rPr>
          <w:t>статьей                               22</w:t>
        </w:r>
      </w:hyperlink>
      <w:r>
        <w:rPr>
          <w:sz w:val="26"/>
          <w:szCs w:val="26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если стоимость одного квадратного метра превышает цену приобретения жилых помещений, установленную в приложении к Областной адресной программе по переселению граждан из аварийного жилищного фонда, признанного таковым с 1 января 2017 года, в Челябинской области, утвержденной постановлением Правительства Челябинской области от 27.06.2024 № 399-П, финансирование таких расходов на оплату превышения осуществляется за счет средств областного и (или) местного бюджетов.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предоставления жилого помещения большей площади, чем аварийное, оплата превышения площади осуществляется за счет средств областного и местного бюджетов.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согласии собственника с ним заключается соглашение о предоставлении благоустроенного жилого помещения взамен изымаемого, в соответствии с которым ему предоставляется другое благоустроенное жилое помещение. Предлагаемое и изымаемое жилые помещения признаются равноценными. Доплата за разницу в стоимости обмениваемых жилых помещений не взимается.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Жилые помещения, приобретенные (построенные) в рамках государственных контрактов, передаются из государственной собственности Челябинской области в муниципальную собственность.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 На II этапе организационные мероприятия, осуществляемые органом местного самоуправления, должны быть направлены на: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заключение с собственниками соглашения о предоставлении благоустроенного жилого помещения взамен изымаемого в соответствии с заключенными предварительными соглашениями о предоставлении взамен изымаемых жилых помещений других жилых помещений муниципального    жилищного фонда;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заключение с собственниками соглашения об изъятии жилого помещения и выплате возмещения (выкупной стоимости) за изымаемое жилое помещение;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1134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нанимателям изымаемых жилых помещений равнозначных жилых помещений по договорам социального найма.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 Финансовые мероприятия направлены на формирование муниципального жилищного фонда для переселения граждан путем строительства, в том числе долевого, или приобретения квартир в многоквартирных домах, в том числе на вторичном рынке и домах, перечисленных в пунктах 2 и 3 части 2 статьи 49 Градостроительного кодекса Российской Федерации, для последующего предоставления жилых помещений для переселения: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1134" w:leader="none"/>
          <w:tab w:val="left" w:pos="2268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граждан из занимаемых по договорам социального найма жилых помещений, расположенных в аварийных МКД;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1134" w:leader="none"/>
          <w:tab w:val="left" w:pos="2268" w:leader="none"/>
        </w:tabs>
        <w:ind w:firstLine="709" w:left="0"/>
        <w:jc w:val="both"/>
        <w:rPr>
          <w:sz w:val="26"/>
          <w:szCs w:val="26"/>
        </w:rPr>
      </w:pPr>
      <w:r>
        <w:rPr>
          <w:sz w:val="26"/>
          <w:szCs w:val="26"/>
        </w:rPr>
        <w:t>собственников жилых помещений, расположенных в аварийных МКД.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Жилые помещения предоставляются нанимателям в порядке и на условиях, предусмотренных разделами III и IV Жилищного кодекса Российской Федерации.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согласии собственника с ним заключается соглашение о предоставлении благоустроенного жилого помещения взамен изымаемого, в соответствии с которым ему предоставляется другое благоустроенное жилое помещение, равноценное освобождаемому жилому помещению. Либо собственнику выплачивается выкупная стоимость за изымаемое жилое помещения.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15. Управление реализацией мероприятий муниципальной программы осуществляет ответственный исполнитель муниципальной программы.</w:t>
      </w:r>
    </w:p>
    <w:p>
      <w:pPr>
        <w:pStyle w:val="Normal"/>
        <w:tabs>
          <w:tab w:val="clear" w:pos="708"/>
          <w:tab w:val="left" w:pos="1134" w:leader="none"/>
        </w:tabs>
        <w:spacing w:lineRule="auto" w:line="252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Ответственный исполнитель, соисполнители муниципальной программы несут равную ответственность за реализацию мероприятий муниципальной  программы, уточняют сроки реализации мероприятий муниципальной программы и объемы их финансирования.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Взаимодействие и отчетность осуществляются в соответствии с </w:t>
      </w:r>
      <w:r>
        <w:rPr>
          <w:sz w:val="26"/>
          <w:szCs w:val="26"/>
          <w:lang w:bidi="en-US"/>
        </w:rPr>
        <w:t>Порядк</w:t>
      </w:r>
      <w:r>
        <w:rPr>
          <w:sz w:val="26"/>
          <w:szCs w:val="26"/>
        </w:rPr>
        <w:t>ом принятия решений о разработке, формировании и реализации муниципальных программ и Порядком разработки, утверждения, реализации, контроля и проведения оценки эффективности реализации муниципальных программ Копейского городского округа, утвержденным постановлением администрации округа от 25.04.2024 № 1098-п.</w:t>
      </w:r>
    </w:p>
    <w:p>
      <w:pPr>
        <w:pStyle w:val="ConsPlusNormal1"/>
        <w:tabs>
          <w:tab w:val="clear" w:pos="708"/>
          <w:tab w:val="left" w:pos="1134" w:leader="none"/>
        </w:tabs>
        <w:ind w:firstLine="709"/>
        <w:jc w:val="both"/>
        <w:rPr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Ответственный исполнитель муниципальной программы совместно с соисполнителями готовит отчеты о ходе реализации муниципальной программы согласно Порядку разработки, утверждения, реализации, контроля и проведения  оценки эффективности реализации муниципальных программ Копейского городского округа, и направляет в управление экономического развития администрации округа. </w:t>
      </w:r>
    </w:p>
    <w:p>
      <w:pPr>
        <w:pStyle w:val="Normal"/>
        <w:ind w:firstLine="709"/>
        <w:jc w:val="both"/>
        <w:rPr>
          <w:color w:val="auto"/>
          <w:spacing w:val="-1"/>
          <w:sz w:val="26"/>
          <w:szCs w:val="26"/>
        </w:rPr>
      </w:pPr>
      <w:r>
        <w:rPr>
          <w:color w:val="auto"/>
          <w:spacing w:val="-1"/>
          <w:sz w:val="26"/>
          <w:szCs w:val="26"/>
        </w:rPr>
      </w:r>
    </w:p>
    <w:p>
      <w:pPr>
        <w:pStyle w:val="Normal"/>
        <w:ind w:firstLine="142" w:left="-142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ind w:firstLine="142" w:left="-142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ind w:firstLine="142" w:left="-142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ind w:right="-284"/>
        <w:rPr>
          <w:color w:val="auto"/>
          <w:sz w:val="26"/>
          <w:szCs w:val="26"/>
        </w:rPr>
      </w:pPr>
      <w:r>
        <w:rPr>
          <w:rFonts w:eastAsia="Adobe Fangsong Std R"/>
          <w:color w:val="auto"/>
          <w:sz w:val="26"/>
          <w:szCs w:val="26"/>
        </w:rPr>
        <w:t>Начальник отдела жилищной политики                                                    И.Д. Саевская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850" w:gutter="0" w:header="680" w:top="851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Courier New">
    <w:charset w:val="01"/>
    <w:family w:val="auto"/>
    <w:pitch w:val="default"/>
  </w:font>
  <w:font w:name="Open Sans">
    <w:charset w:val="01"/>
    <w:family w:val="swiss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bullet"/>
      <w:lvlText w:val="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isLgl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isLgl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isLgl/>
      <w:numFmt w:val="decimal"/>
      <w:lvlText w:val="%1)"/>
      <w:lvlJc w:val="left"/>
      <w:pPr>
        <w:tabs>
          <w:tab w:val="num" w:pos="0"/>
        </w:tabs>
        <w:ind w:left="2149" w:hanging="360"/>
      </w:pPr>
      <w:rPr>
        <w:szCs w:val="28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isLgl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isLgl/>
      <w:numFmt w:val="bullet"/>
      <w:lvlText w:val="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isLgl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isLgl/>
      <w:numFmt w:val="bullet"/>
      <w:lvlText w:val="–"/>
      <w:lvlJc w:val="left"/>
      <w:pPr>
        <w:tabs>
          <w:tab w:val="num" w:pos="0"/>
        </w:tabs>
        <w:ind w:left="1418" w:hanging="360"/>
      </w:pPr>
      <w:rPr>
        <w:rFonts w:ascii="Arial" w:hAnsi="Arial" w:cs="Aria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2138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858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4298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5018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738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6458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7178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isLgl/>
      <w:numFmt w:val="bullet"/>
      <w:lvlText w:val="–"/>
      <w:lvlJc w:val="left"/>
      <w:pPr>
        <w:tabs>
          <w:tab w:val="num" w:pos="0"/>
        </w:tabs>
        <w:ind w:left="1417" w:hanging="360"/>
      </w:pPr>
      <w:rPr>
        <w:rFonts w:ascii="Arial" w:hAnsi="Arial" w:cs="Aria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2137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857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3577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4297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5017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737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6457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717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Cs/>
      <w:color w:val="000000"/>
      <w:kern w:val="0"/>
      <w:sz w:val="24"/>
      <w:szCs w:val="24"/>
      <w:lang w:eastAsia="ru-RU" w:val="ru-RU" w:bidi="ar-SA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6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7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8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bCs/>
      <w:color w:val="000000"/>
      <w:sz w:val="24"/>
      <w:szCs w:val="24"/>
      <w:lang w:eastAsia="ru-RU"/>
    </w:rPr>
  </w:style>
  <w:style w:type="character" w:styleId="Style9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bCs/>
      <w:color w:val="000000"/>
      <w:sz w:val="24"/>
      <w:szCs w:val="24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Pr>
      <w:rFonts w:ascii="Tahoma" w:hAnsi="Tahoma" w:eastAsia="Times New Roman" w:cs="Tahoma"/>
      <w:bCs/>
      <w:color w:val="000000"/>
      <w:sz w:val="16"/>
      <w:szCs w:val="16"/>
      <w:lang w:eastAsia="ru-RU"/>
    </w:rPr>
  </w:style>
  <w:style w:type="character" w:styleId="HTML" w:customStyle="1">
    <w:name w:val="Стандартный HTML Знак"/>
    <w:basedOn w:val="DefaultParagraphFont"/>
    <w:qFormat/>
    <w:rPr>
      <w:rFonts w:ascii="Courier New" w:hAnsi="Courier New" w:eastAsia="Times New Roman" w:cs="Times New Roman"/>
      <w:sz w:val="20"/>
      <w:szCs w:val="20"/>
    </w:rPr>
  </w:style>
  <w:style w:type="character" w:styleId="2" w:customStyle="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 w:customStyle="1">
    <w:name w:val="Без интервала Знак"/>
    <w:basedOn w:val="DefaultParagraphFont"/>
    <w:uiPriority w:val="1"/>
    <w:qFormat/>
    <w:rPr>
      <w:rFonts w:ascii="Times New Roman" w:hAnsi="Times New Roman" w:eastAsia="Times New Roman" w:cs="Times New Roman"/>
      <w:bCs/>
      <w:color w:val="000000"/>
      <w:sz w:val="24"/>
      <w:szCs w:val="24"/>
      <w:lang w:eastAsia="ru-RU"/>
    </w:rPr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ntstyle01" w:customStyle="1">
    <w:name w:val="fontstyle01"/>
    <w:basedOn w:val="DefaultParagraphFont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color w:themeColor="accent1" w:val="4F81BD"/>
      <w:sz w:val="18"/>
      <w:szCs w:val="18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1" w:customStyle="1">
    <w:name w:val="Заголовок 11"/>
    <w:basedOn w:val="ConsPlusNonformat"/>
    <w:qFormat/>
    <w:pPr>
      <w:keepNext w:val="true"/>
      <w:keepLines/>
      <w:widowControl/>
      <w:tabs>
        <w:tab w:val="clear" w:pos="708"/>
        <w:tab w:val="left" w:pos="0" w:leader="none"/>
      </w:tabs>
      <w:spacing w:lineRule="auto" w:line="276"/>
      <w:jc w:val="center"/>
      <w:outlineLvl w:val="0"/>
    </w:pPr>
    <w:rPr>
      <w:rFonts w:ascii="Times New Roman" w:hAnsi="Times New Roman" w:cs="Times New Roman"/>
      <w:bCs/>
      <w:color w:val="365F91"/>
      <w:sz w:val="28"/>
      <w:szCs w:val="28"/>
      <w:lang w:eastAsia="zh-CN"/>
    </w:rPr>
  </w:style>
  <w:style w:type="paragraph" w:styleId="IndexHeading">
    <w:name w:val="index heading"/>
    <w:basedOn w:val="Style12"/>
    <w:pPr/>
    <w:rPr/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bCs w:val="false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BodyText2">
    <w:name w:val="Body Text 2"/>
    <w:basedOn w:val="Normal"/>
    <w:qFormat/>
    <w:pPr>
      <w:ind w:firstLine="567"/>
      <w:jc w:val="both"/>
    </w:pPr>
    <w:rPr>
      <w:bCs w:val="false"/>
      <w:color w:val="auto"/>
      <w:sz w:val="28"/>
      <w:szCs w:val="20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Style31" w:customStyle="1">
    <w:name w:val="Style3"/>
    <w:basedOn w:val="Normal"/>
    <w:qFormat/>
    <w:pPr>
      <w:widowControl w:val="false"/>
    </w:pPr>
    <w:rPr>
      <w:bCs w:val="false"/>
      <w:color w:val="auto"/>
    </w:rPr>
  </w:style>
  <w:style w:type="paragraph" w:styleId="consplusnormal11" w:customStyle="1">
    <w:name w:val="consplusnormal1"/>
    <w:basedOn w:val="Normal"/>
    <w:qFormat/>
    <w:pPr>
      <w:spacing w:beforeAutospacing="1" w:afterAutospacing="1"/>
    </w:pPr>
    <w:rPr>
      <w:bCs w:val="false"/>
      <w:color w:val="auto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Cs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bCs w:val="false"/>
      <w:color w:val="auto"/>
    </w:rPr>
  </w:style>
  <w:style w:type="paragraph" w:styleId="Default" w:customStyle="1">
    <w:name w:val="Default"/>
    <w:uiPriority w:val="9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ru-RU" w:val="ru-RU" w:bidi="ar-SA"/>
    </w:rPr>
  </w:style>
  <w:style w:type="numbering" w:styleId="Style14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A057DD3D17875C3FB02FA30B3EB6A28CA68CF184A052127EA5E19BC9D87240A833D2ED7B85D96628CCE28B4356FF19B7A368EE2FF085h4GBL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080B8-23AA-4106-B109-BDE9F3D3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5</Pages>
  <Words>1524</Words>
  <Characters>11162</Characters>
  <CharactersWithSpaces>13352</CharactersWithSpaces>
  <Paragraphs>66</Paragraphs>
  <Company>Romeo1994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2026-02-11T08:53:00Z</dcterms:created>
  <dc:creator>Кустова Ольга Валерьевна</dc:creator>
  <dc:description/>
  <dc:language>ru-RU</dc:language>
  <cp:lastModifiedBy/>
  <cp:lastPrinted>2026-01-23T11:40:00Z</cp:lastPrinted>
  <dcterms:modified xsi:type="dcterms:W3CDTF">2026-02-11T13:57:35Z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