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auto"/>
          <w:sz w:val="26"/>
          <w:szCs w:val="26"/>
        </w:rPr>
      </w:pPr>
      <w:bookmarkStart w:id="0" w:name="_GoBack"/>
      <w:bookmarkEnd w:id="0"/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>УТВЕРЖДЕНА</w:t>
      </w:r>
    </w:p>
    <w:p>
      <w:pPr>
        <w:pStyle w:val="Normal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 xml:space="preserve">распоряжением администрации </w:t>
        <w:tab/>
        <w:tab/>
        <w:tab/>
        <w:tab/>
        <w:tab/>
        <w:tab/>
        <w:tab/>
        <w:tab/>
        <w:t xml:space="preserve">  Копейского городского округа</w:t>
      </w:r>
    </w:p>
    <w:p>
      <w:pPr>
        <w:pStyle w:val="Normal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</w:t>
      </w:r>
      <w:r>
        <w:rPr>
          <w:color w:val="auto"/>
          <w:sz w:val="26"/>
          <w:szCs w:val="26"/>
        </w:rPr>
        <w:t>от 18.11.2024 № 933-р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                                                         (в редакции распоряжения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>администрации</w:t>
      </w:r>
      <w:r>
        <w:rPr/>
        <w:t xml:space="preserve"> Копейского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/>
        <w:t xml:space="preserve">                                                                                     </w:t>
      </w:r>
      <w:r>
        <w:rPr/>
        <w:t>городского округа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/>
        <w:t xml:space="preserve">                                                                                     </w:t>
      </w:r>
      <w:r>
        <w:rPr/>
        <w:t xml:space="preserve">От </w:t>
      </w:r>
      <w:r>
        <w:rPr>
          <w:u w:val="single"/>
        </w:rPr>
        <w:t xml:space="preserve">05.02.2026 </w:t>
      </w:r>
      <w:r>
        <w:rPr>
          <w:u w:val="single"/>
        </w:rPr>
        <w:t>№</w:t>
      </w:r>
      <w:r>
        <w:rPr>
          <w:u w:val="single"/>
        </w:rPr>
        <w:t>80-р</w:t>
      </w:r>
      <w:r>
        <w:rPr/>
        <w:t>)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BodyText2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Муниципальная программа</w:t>
      </w:r>
    </w:p>
    <w:p>
      <w:pPr>
        <w:pStyle w:val="BodyText2"/>
        <w:jc w:val="center"/>
        <w:rPr>
          <w:sz w:val="26"/>
          <w:szCs w:val="26"/>
        </w:rPr>
      </w:pPr>
      <w:r>
        <w:rPr>
          <w:sz w:val="26"/>
          <w:szCs w:val="26"/>
        </w:rPr>
        <w:t>«Переселение граждан из жилищного фонда, признанного непригодным для проживания в Копейском городском округе»</w:t>
      </w:r>
    </w:p>
    <w:p>
      <w:pPr>
        <w:pStyle w:val="BodyText2"/>
        <w:jc w:val="center"/>
        <w:rPr>
          <w:sz w:val="26"/>
          <w:szCs w:val="26"/>
        </w:rPr>
      </w:pPr>
      <w:r>
        <w:rPr>
          <w:sz w:val="26"/>
          <w:szCs w:val="26"/>
        </w:rPr>
        <w:t>(далее – муниципальная программа)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  <w:lang w:val="en-US"/>
        </w:rPr>
        <w:t>I</w:t>
      </w:r>
      <w:r>
        <w:rPr>
          <w:color w:val="auto"/>
          <w:sz w:val="26"/>
          <w:szCs w:val="26"/>
        </w:rPr>
        <w:t>. Оценка текущего состояния аварийного и непригодного жилищного фонда на территории Копейского городского округа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Spacing"/>
        <w:numPr>
          <w:ilvl w:val="0"/>
          <w:numId w:val="4"/>
        </w:numPr>
        <w:ind w:firstLine="709"/>
        <w:jc w:val="both"/>
        <w:rPr/>
      </w:pPr>
      <w:r>
        <w:rPr>
          <w:color w:val="auto"/>
          <w:sz w:val="26"/>
          <w:szCs w:val="26"/>
        </w:rPr>
        <w:t>Обеспечение доступным и комфортным жильем остается одним из самых актуальных вопросов для большинства граждан Российской Федерации, в том числе и для жителей Копейского городского округа (далее – округ).</w:t>
      </w:r>
    </w:p>
    <w:p>
      <w:pPr>
        <w:pStyle w:val="NoSpacing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Одним из приоритетов национальной жилищной политики Российской Федерации является обеспечение граждан безопасными и комфортными условиями проживания.</w:t>
      </w:r>
    </w:p>
    <w:p>
      <w:pPr>
        <w:pStyle w:val="NoSpacing"/>
        <w:ind w:firstLine="709"/>
        <w:jc w:val="both"/>
        <w:rPr/>
      </w:pPr>
      <w:r>
        <w:rPr>
          <w:color w:val="auto"/>
          <w:sz w:val="26"/>
          <w:szCs w:val="26"/>
        </w:rPr>
        <w:t xml:space="preserve">До конца 2030 года планируется снизить суммарную площадь жилищного фонда, признанного непригодным для проживания, и жилищного фонда с высоким уровнем износа (более 70 процентов), внести 100 процентов аварийного жилого фонда в цифровой реестр аварийного жилья. </w:t>
      </w:r>
    </w:p>
    <w:p>
      <w:pPr>
        <w:pStyle w:val="NoSpacing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Основным фактором, препятствующим устойчивому сокращению непригодного для проживания жилищного фонда, является ежегодный прирост и, соответственно, накопление жилищного фонда, который признается аварийным по итогам его обследования.</w:t>
      </w:r>
    </w:p>
    <w:p>
      <w:pPr>
        <w:pStyle w:val="NoSpacing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ab/>
      </w:r>
    </w:p>
    <w:p>
      <w:pPr>
        <w:pStyle w:val="NoSpacing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  <w:lang w:val="en-US"/>
        </w:rPr>
        <w:t>II</w:t>
      </w:r>
      <w:r>
        <w:rPr>
          <w:color w:val="auto"/>
          <w:sz w:val="26"/>
          <w:szCs w:val="26"/>
        </w:rPr>
        <w:t xml:space="preserve">. </w:t>
      </w:r>
      <w:r>
        <w:rPr>
          <w:sz w:val="26"/>
          <w:szCs w:val="26"/>
        </w:rPr>
        <w:t xml:space="preserve">Приоритеты и цели муниципальной политики в сфере реализации муниципальной программы, включая характеристику текущего состояния </w:t>
      </w:r>
    </w:p>
    <w:p>
      <w:pPr>
        <w:pStyle w:val="HTMLPreformatte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keepNext w:val="false"/>
        <w:keepLines w:val="false"/>
        <w:widowControl w:val="false"/>
        <w:tabs>
          <w:tab w:val="left" w:pos="0" w:leader="none"/>
          <w:tab w:val="left" w:pos="1134" w:leader="none"/>
        </w:tabs>
        <w:spacing w:lineRule="auto" w:line="24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Наличие для граждан возможности улучшения жилищных условий является важным показателем повышения благосостояния населения Челябинской области, предпосылкой социальной и экономической стабильности государства, поэтому решение жилищной проблемы является одним из приоритетов государственной политики в Российской Федерации и Челябинской области. Одной из важнейших проблем жилищно-коммунальной реформы является проблема ликвидации аварийного жилищного фонда. Его наличие не только ухудшает внешний облик, понижает инвестиционную привлекательность населенных пунктов и сдерживает развитие инфраструктуры, но и создает потенциальную угрозу безопасности и комфортности проживания граждан, ухудшает качество предоставляемых коммунальных услуг, повышает социальную напряженность в обществе.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Приоритеты государственной политики в сфере реализации муниципальной программы определены:</w:t>
      </w:r>
    </w:p>
    <w:p>
      <w:pPr>
        <w:pStyle w:val="ConsPlusNonformat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>
      <w:pPr>
        <w:pStyle w:val="ConsPlusNonformat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1710;</w:t>
      </w:r>
    </w:p>
    <w:p>
      <w:pPr>
        <w:pStyle w:val="ConsPlusNonformat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Стратегией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31.10.2022 № 3268-р;</w:t>
      </w:r>
    </w:p>
    <w:p>
      <w:pPr>
        <w:pStyle w:val="ConsPlusNonformat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Стратегией социально-экономического развития Челябинской области на период до 2035 года, утвержденной постановлением Законодательного Собрания Челябинской области от 31.01.2019 № 1748;</w:t>
      </w:r>
    </w:p>
    <w:p>
      <w:pPr>
        <w:pStyle w:val="ConsPlusNonformat"/>
        <w:numPr>
          <w:ilvl w:val="0"/>
          <w:numId w:val="5"/>
        </w:numPr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Стратегией в области цифровой трансформации ключевых отраслей экономики, социальной сферы и государственного управления Челябинской области, утвержденной распоряжением Правительства Челябинской области от 17.08.2022 № 757-рп.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Настоящая муниципальная программа направлена на продолжение преобразований в жилищной сфере и обусловлена необходимостью: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698" w:left="0"/>
        <w:jc w:val="both"/>
        <w:rPr>
          <w:sz w:val="26"/>
          <w:szCs w:val="26"/>
        </w:rPr>
      </w:pPr>
      <w:r>
        <w:rPr>
          <w:sz w:val="26"/>
          <w:szCs w:val="26"/>
        </w:rPr>
        <w:t>развития конкуренции на рынке жилья, включая реализацию мер по поддержке жилищного строительства в части обеспечения земельных участков объектами коммунальной инфраструктуры. Поскольку часть земельных участков под жилищное строительство будет сформирована и обеспечена объектами коммунальной инфраструктуры на территориях, занимаемых в настоящее время ветхим и аварийным жилищным фондом, мероприятия муниципальной программы будут способствовать решению проблемы ликвидации жилищного фонда, непригодного для проживания.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5. Настоящая муниципальная программа действует в рамках:</w:t>
      </w:r>
    </w:p>
    <w:p>
      <w:pPr>
        <w:pStyle w:val="ConsPlusNormal1"/>
        <w:widowControl/>
        <w:numPr>
          <w:ilvl w:val="0"/>
          <w:numId w:val="3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hyperlink r:id="rId2" w:tgtFrame="Постановление Правительства Челябинской области от 22.10.2013 N 349-П (ред. от 19.12.2019) \&quot;О государственной программе Челябинской области \&quot;Обеспечение доступным и комфортным жильем граждан Российской Федерации в Челябинской области\">
        <w:r>
          <w:rPr>
            <w:rStyle w:val="Style1"/>
            <w:rFonts w:cs="Times New Roman" w:ascii="Times New Roman" w:hAnsi="Times New Roman"/>
            <w:sz w:val="26"/>
            <w:szCs w:val="26"/>
          </w:rPr>
          <w:t>подпрограммы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«Мероприятия по переселению граждан из жилищного фонда, признанного непригодным для проживания» государственной программы Челябинской области «Обеспечение доступным и комфортным жильем граждан Российской Федерации в Челябинской области», утвержденной постановлением Правительства Челябинской области от 21.12.2020 № 700-П;</w:t>
      </w:r>
    </w:p>
    <w:p>
      <w:pPr>
        <w:pStyle w:val="ConsPlusNormal1"/>
        <w:widowControl/>
        <w:numPr>
          <w:ilvl w:val="0"/>
          <w:numId w:val="3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мероприятий по обеспечению жильем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граждан </w:t>
      </w:r>
      <w:r>
        <w:rPr>
          <w:rFonts w:cs="Times New Roman" w:ascii="Times New Roman" w:hAnsi="Times New Roman"/>
          <w:sz w:val="26"/>
          <w:szCs w:val="26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                            от 30.12.2017 № 1710.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Объектом рассмотрения муниципальной программы является жилищный фонд как совокупность жилых помещений многоквартирных домов, признанных непригодными для проживания, аварийными и подлежащими сносу или реконструкции в установленном порядке в связи с физическим износом.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Для создания условий улучшения гражданами жилищных условий требуется совершенствование законодательной и нормативной правовой базы в жилищном секторе. Необходимость ускоренного перехода к устойчивому функционированию и развитию жилищной сферы определяет целесообразность использования программно-целевого метода для решения указанных проблем, поскольку они: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носят межотраслевой и межведомственный характер и не могут быть решены без участия федерального центра;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могут быть решены в пределах одного финансового года и требуют значительных бюджетных расходов до 2030 года включительно;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носят комплексный характер, а их решение окажет существенное положительное влияние на социальное благополучие общества, общее экономическое развитие.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Перечень многоквартирных домов, признанных непригодными для проживания, аварийными и подлежащих расселению, приведен в приложении 2 к муниципальной программе.</w:t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>
        <w:rPr>
          <w:sz w:val="26"/>
          <w:szCs w:val="26"/>
          <w:shd w:fill="FFFFFF" w:val="clear"/>
          <w:lang w:val="en-US"/>
        </w:rPr>
        <w:t>III</w:t>
      </w:r>
      <w:r>
        <w:rPr>
          <w:sz w:val="26"/>
          <w:szCs w:val="26"/>
          <w:shd w:fill="FFFFFF" w:val="clear"/>
        </w:rPr>
        <w:t>. Сведения о взаимоувязке со стратегическими приоритетами, целями  и показателями государственных программ</w:t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3420" w:leader="none"/>
          <w:tab w:val="left" w:pos="5040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9. Цель, задачи и сроки реализации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07.05.2024                   № 309, и 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                             от 01.10.2021 № 2765-р.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рамках реализации муниципальной программы обеспечена взаимосвязь с национальными целями «Комфортная и безопасная среда для жизни», «Цифровая трансформация государственного и муниципального управления, экономики и социальной сферы», показателями, установленными Указом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а также </w:t>
      </w:r>
      <w:r>
        <w:rPr>
          <w:sz w:val="26"/>
          <w:szCs w:val="26"/>
          <w:shd w:fill="FFFFFF" w:val="clear"/>
        </w:rPr>
        <w:t xml:space="preserve">Стратегией социально-экономического развития Копейского городского округа на период до 2035 года, утвержденной решением Собрания депутатов округа от 19.12.2018 № 635-МО (далее – Стратегия). </w:t>
      </w:r>
      <w:r>
        <w:rPr>
          <w:color w:val="auto"/>
          <w:sz w:val="26"/>
          <w:szCs w:val="26"/>
        </w:rPr>
        <w:t>С</w:t>
      </w:r>
      <w:r>
        <w:rPr>
          <w:sz w:val="26"/>
          <w:szCs w:val="26"/>
          <w:shd w:fill="FFFFFF" w:val="clear"/>
        </w:rPr>
        <w:t>тратегией предусмотрены мероприятия</w:t>
      </w:r>
      <w:r>
        <w:rPr>
          <w:color w:val="auto"/>
          <w:sz w:val="26"/>
          <w:szCs w:val="26"/>
        </w:rPr>
        <w:t xml:space="preserve"> по ликвидации аварийного жилищного фонда на территории округа. 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С целью снижения количества аварийного жилищного фонда округ активно участвует в государственных и областных программах, направленных на переселение граждан из аварийных домов.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3420" w:leader="none"/>
          <w:tab w:val="left" w:pos="5040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10. Основной целью муниципальной программы является ликвидация непригодного для проживания, аварийного жилищного фонда.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sz w:val="26"/>
          <w:szCs w:val="26"/>
          <w:shd w:fill="FFFFFF" w:val="clear"/>
          <w:lang w:val="en-US"/>
        </w:rPr>
        <w:t>IV</w:t>
      </w:r>
      <w:r>
        <w:rPr>
          <w:sz w:val="26"/>
          <w:szCs w:val="26"/>
          <w:shd w:fill="FFFFFF" w:val="clear"/>
        </w:rPr>
        <w:t>. Задачи муниципального управления, способы их эффективного решения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 </w:t>
      </w:r>
      <w:r>
        <w:rPr>
          <w:sz w:val="26"/>
          <w:szCs w:val="26"/>
          <w:shd w:fill="FFFFFF" w:val="clear"/>
        </w:rPr>
        <w:t xml:space="preserve">в </w:t>
      </w:r>
      <w:r>
        <w:rPr>
          <w:bCs w:val="false"/>
          <w:color w:val="auto"/>
          <w:spacing w:val="-1"/>
          <w:sz w:val="26"/>
          <w:szCs w:val="26"/>
        </w:rPr>
        <w:t>соответствующей отрасли экономики и сфере муниципального управления</w:t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 Для достижения поставленной цели определена основная задача муниципальной программы: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переселение жителей МКД, признанных непригодными для проживания, аварийными и подлежащими сносу или реконструкции.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 На I этапе реализации муниципальной программы: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</w:tabs>
        <w:ind w:firstLine="709" w:left="0"/>
        <w:jc w:val="both"/>
        <w:rPr/>
      </w:pPr>
      <w:r>
        <w:rPr>
          <w:sz w:val="26"/>
          <w:szCs w:val="26"/>
        </w:rPr>
        <w:t xml:space="preserve">определение рыночной стоимости изымаемого жилого помещения,   находящегося в собственности граждан, в соответствии со статьёй 32 Жилищного кодекса Российской Федерации; 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орган местного самоуправления в порядке, установленном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проводит торги на выполнение работ по строительству жилых многоквартирных домов и домов, перечисленных в пунктах 2 и 3 части 2 статьи 49 Градостроительного кодекса Российской Федерации, или на приобретение у собственников жилых помещений в таких домах;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орган местного самоуправления заключает муниципальные контракты с застройщиками на строительство жилых многоквартирных домов, в том числе долевое или на приобретение жилых помещений (в том числе путем инвестирования в строительство многоквартирных жилых домов), в том числе на вторичном рынке по цене, определяемой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Начальная (максимальная) цена указанных государственных и муниципальных контрактов определяется в соответствии со </w:t>
      </w:r>
      <w:hyperlink r:id="rId3">
        <w:r>
          <w:rPr>
            <w:rStyle w:val="Style1"/>
            <w:sz w:val="26"/>
            <w:szCs w:val="26"/>
          </w:rPr>
          <w:t>статьей 22</w:t>
        </w:r>
      </w:hyperlink>
      <w:r>
        <w:rPr>
          <w:sz w:val="26"/>
          <w:szCs w:val="26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предоставления жилого помещения большей площади, чем аварийное, оплата превышения площади осуществляется за счет средств областного и местного бюджетов.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согласии собственника с ним заключается соглашение о предоставлении благоустроенного жилого помещения взамен изымаемого, в соответствии с которым ему предоставляется другое благоустроенное жилое помещение. Предлагаемое и изымаемое жилые помещения признаются равноценными. Доплата за разницу в стоимости обмениваемых жилых помещений не взимается.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Жилые помещения, приобретенные (построенные) в рамках государственных контрактов, передаются из государственной собственности Челябинской области в муниципальную собственность.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На II этапе организационные мероприятия, осуществляемые органом местного самоуправления, должны быть направлены на:</w:t>
      </w:r>
    </w:p>
    <w:p>
      <w:pPr>
        <w:pStyle w:val="ListParagraph"/>
        <w:numPr>
          <w:ilvl w:val="0"/>
          <w:numId w:val="10"/>
        </w:numPr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заключение с собственниками соглашения о предоставлении благоустроенного жилого помещения взамен изымаемого в соответствии с заключенными предварительными соглашениями о предоставлении взамен изымаемых жилых помещений других жилых помещений муниципального    жилищного фонда;</w:t>
      </w:r>
    </w:p>
    <w:p>
      <w:pPr>
        <w:pStyle w:val="ListParagraph"/>
        <w:numPr>
          <w:ilvl w:val="0"/>
          <w:numId w:val="10"/>
        </w:numPr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заключение с собственниками соглашения об изъятии жилого помещения и выплате возмещения (выкупной стоимости) за изымаемое жилое помещение;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предоставление нанимателям изымаемых жилых помещений равнозначных жилых помещений по договорам социального найма.  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Финансовые мероприятия направлены на формирование муниципального жилищного фонда для переселения граждан путем строительства, в том числе долевого, или приобретения квартир в многоквартирных домах, в том числе на вторичном рынке и домах, перечисленных в пунктах 2 и 3 части 2  статьи 49 Градостроительного кодекса Российской Федерации, для последующего предоставления жилых помещений для переселения: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1134" w:leader="none"/>
          <w:tab w:val="left" w:pos="2268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граждан из занимаемых по договорам социального найма жилых помещений, расположенных в аварийных МКД;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1134" w:leader="none"/>
          <w:tab w:val="left" w:pos="2268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собственников жилых помещений, расположенных в аварийных МКД.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Жилые помещения предоставляются нанимателям в порядке и на условиях, предусмотренных разделами III и IV Жилищного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согласии собственника с ним заключается соглашение о предоставлении благоустроенного жилого помещения взамен изымаемого, в соответствии с которым ему предоставляется другое благоустроенное жилое помещение, равноценное освобождаемому жилому помещению. Либо собственнику выплачивается выкупная стоимость за изымаемое жилое помещение.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 Управление реализацией мероприятий муниципальной программы осуществляет ответственный исполнитель муниципальной программы.</w:t>
      </w:r>
    </w:p>
    <w:p>
      <w:pPr>
        <w:pStyle w:val="Normal"/>
        <w:tabs>
          <w:tab w:val="clear" w:pos="708"/>
          <w:tab w:val="left" w:pos="1134" w:leader="none"/>
        </w:tabs>
        <w:spacing w:lineRule="auto" w:line="252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исполнитель, соисполнители муниципальной программы несут равную ответственность за реализацию мероприятий муниципальной  программы, уточняют сроки реализации мероприятий муниципальной программы и объемы их финансирования.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Взаимодействие и отчетность осуществляются в соответствии с </w:t>
      </w:r>
      <w:r>
        <w:rPr>
          <w:sz w:val="26"/>
          <w:szCs w:val="26"/>
          <w:lang w:bidi="en-US"/>
        </w:rPr>
        <w:t>Порядк</w:t>
      </w:r>
      <w:r>
        <w:rPr>
          <w:sz w:val="26"/>
          <w:szCs w:val="26"/>
        </w:rPr>
        <w:t>ом принятия решений о разработке, формировании и реализации муниципальных программ и Порядком разработки, утверждения, реализации, контроля и проведения оценки эффективности реализации муниципальных программ Копейского городского округа, утвержденным постановлением администрации  округа от 25.04.2024 № 1098-п.</w:t>
      </w:r>
    </w:p>
    <w:p>
      <w:pPr>
        <w:pStyle w:val="ConsPlusNormal1"/>
        <w:tabs>
          <w:tab w:val="clear" w:pos="708"/>
          <w:tab w:val="left" w:pos="1134" w:leader="none"/>
        </w:tabs>
        <w:ind w:firstLine="709"/>
        <w:jc w:val="both"/>
        <w:rPr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Ответственный исполнитель муниципальной программы совместно с соисполнителями готовит отчеты о ходе реализации муниципальной программы согласно Порядку разработки, утверждения, реализации, контроля и проведения  оценки эффективности реализации муниципальных программ Копейского городского округа, и направляет в управление экономического развития администрации округа. </w:t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ind w:right="-284"/>
        <w:rPr>
          <w:color w:val="auto"/>
          <w:sz w:val="26"/>
          <w:szCs w:val="26"/>
        </w:rPr>
      </w:pPr>
      <w:r>
        <w:rPr>
          <w:rFonts w:eastAsia="Adobe Fangsong Std R"/>
          <w:color w:val="auto"/>
          <w:sz w:val="26"/>
          <w:szCs w:val="26"/>
        </w:rPr>
        <w:t>Начальник отдела жилищной политики                                                    И.Д. Саевская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850" w:gutter="0" w:header="680" w:top="85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Courier New">
    <w:charset w:val="01"/>
    <w:family w:val="auto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isLgl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isLgl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isLgl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isLgl/>
      <w:numFmt w:val="decimal"/>
      <w:lvlText w:val="%1)"/>
      <w:lvlJc w:val="left"/>
      <w:pPr>
        <w:tabs>
          <w:tab w:val="num" w:pos="0"/>
        </w:tabs>
        <w:ind w:left="2149" w:hanging="360"/>
      </w:pPr>
      <w:rPr>
        <w:szCs w:val="28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isLgl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isLgl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isLgl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isLgl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isLgl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000000"/>
      <w:kern w:val="0"/>
      <w:sz w:val="24"/>
      <w:szCs w:val="24"/>
      <w:lang w:eastAsia="ru-RU" w:val="ru-RU" w:bidi="ar-SA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6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bCs/>
      <w:color w:val="000000"/>
      <w:sz w:val="16"/>
      <w:szCs w:val="16"/>
      <w:lang w:eastAsia="ru-RU"/>
    </w:rPr>
  </w:style>
  <w:style w:type="character" w:styleId="HTML" w:customStyle="1">
    <w:name w:val="Стандартный HTML Знак"/>
    <w:basedOn w:val="DefaultParagraphFont"/>
    <w:qFormat/>
    <w:rPr>
      <w:rFonts w:ascii="Courier New" w:hAnsi="Courier New" w:eastAsia="Times New Roman" w:cs="Times New Roman"/>
      <w:sz w:val="20"/>
      <w:szCs w:val="20"/>
    </w:rPr>
  </w:style>
  <w:style w:type="character" w:styleId="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Без интервала Знак"/>
    <w:basedOn w:val="DefaultParagraphFont"/>
    <w:uiPriority w:val="1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ntstyle01" w:customStyle="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color w:themeColor="accent1" w:val="4F81BD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 11"/>
    <w:basedOn w:val="ConsPlusNonformat"/>
    <w:qFormat/>
    <w:pPr>
      <w:keepNext w:val="true"/>
      <w:keepLines/>
      <w:widowControl/>
      <w:tabs>
        <w:tab w:val="clear" w:pos="708"/>
        <w:tab w:val="left" w:pos="0" w:leader="none"/>
      </w:tabs>
      <w:spacing w:lineRule="auto" w:line="276"/>
      <w:jc w:val="center"/>
      <w:outlineLvl w:val="0"/>
    </w:pPr>
    <w:rPr>
      <w:rFonts w:ascii="Times New Roman" w:hAnsi="Times New Roman" w:cs="Times New Roman"/>
      <w:bCs/>
      <w:color w:val="365F91"/>
      <w:sz w:val="28"/>
      <w:szCs w:val="28"/>
      <w:lang w:eastAsia="zh-CN"/>
    </w:rPr>
  </w:style>
  <w:style w:type="paragraph" w:styleId="IndexHeading">
    <w:name w:val="index heading"/>
    <w:basedOn w:val="Style12"/>
    <w:pPr/>
    <w:rPr/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bCs w:val="false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BodyText2">
    <w:name w:val="Body Text 2"/>
    <w:basedOn w:val="Normal"/>
    <w:qFormat/>
    <w:pPr>
      <w:ind w:firstLine="567"/>
      <w:jc w:val="both"/>
    </w:pPr>
    <w:rPr>
      <w:bCs w:val="false"/>
      <w:color w:val="auto"/>
      <w:sz w:val="28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31" w:customStyle="1">
    <w:name w:val="Style3"/>
    <w:basedOn w:val="Normal"/>
    <w:qFormat/>
    <w:pPr>
      <w:widowControl w:val="false"/>
    </w:pPr>
    <w:rPr>
      <w:bCs w:val="false"/>
      <w:color w:val="auto"/>
    </w:rPr>
  </w:style>
  <w:style w:type="paragraph" w:styleId="consplusnormal11" w:customStyle="1">
    <w:name w:val="consplusnormal1"/>
    <w:basedOn w:val="Normal"/>
    <w:qFormat/>
    <w:pPr>
      <w:spacing w:beforeAutospacing="1" w:afterAutospacing="1"/>
    </w:pPr>
    <w:rPr>
      <w:bCs w:val="false"/>
      <w:color w:val="auto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bCs w:val="false"/>
      <w:color w:val="auto"/>
    </w:rPr>
  </w:style>
  <w:style w:type="paragraph" w:styleId="Default" w:customStyle="1">
    <w:name w:val="Defaul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numbering" w:styleId="Style1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smb://kopadmin.ru;&#1045;&#1088;&#1096;&#1086;&#1074;&#1072;@docs/sf/&#1054;&#1073;&#1084;&#1077;&#1085;&#1085;&#1080;&#1082;&#1080;%20&#1086;&#1090;&#1076;&#1077;&#1083;&#1086;&#1074;/&#1054;&#1046;&#1055;/&#1045;&#1088;&#1096;&#1086;&#1074;&#1072;/&#1055;&#1088;&#1086;&#1075;&#1088;&#1072;&#1084;&#1084;&#1099;%20&#1087;&#1077;&#1088;&#1077;&#1089;&#1077;&#1083;&#1077;&#1085;&#1080;&#1103;/&#1084;&#1091;&#1085;&#1080;&#1094;&#1080;&#1087;&#1072;&#1083;&#1100;&#1085;&#1072;&#1103;%20&#1087;&#1088;&#1086;&#1075;&#1088;&#1072;&#1084;&#1084;&#1072;%20&#1044;&#1050;&#1046;%20700-&#1055;/2025%20&#1044;&#1050;&#1046;%20&#1087;&#1088;&#1086;&#1075;&#1088;&#1072;&#1084;&#1084;&#1072;%20&#1080;&#1079;&#1084;&#1077;&#1085;&#1077;&#1085;&#1080;&#1103;%20&#1089;&#1077;&#1085;&#1090;&#1103;&#1073;&#1088;&#1100;/&#1086;&#1073;&#1083;&#1072;&#1089;&#1090;&#1080;%5C%22)%7B&#1050;&#1086;&#1085;&#1089;&#1091;&#1083;&#1100;&#1090;&#1072;&#1085;&#1090;&#1055;&#1083;&#1102;&#1089;%7D" TargetMode="External"/><Relationship Id="rId3" Type="http://schemas.openxmlformats.org/officeDocument/2006/relationships/hyperlink" Target="consultantplus://offline/ref=A057DD3D17875C3FB02FA30B3EB6A28CA68CF184A052127EA5E19BC9D87240A833D2ED7B85D96628CCE28B4356FF19B7A368EE2FF085h4GB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F7088-6DAA-4137-BCB7-7BABACE9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</Pages>
  <Words>1520</Words>
  <Characters>11350</Characters>
  <CharactersWithSpaces>13459</CharactersWithSpaces>
  <Paragraphs>67</Paragraphs>
  <Company>Romeo1994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2026-02-05T10:12:00Z</dcterms:created>
  <dc:creator>Кустова Ольга Валерьевна</dc:creator>
  <dc:description/>
  <dc:language>ru-RU</dc:language>
  <cp:lastModifiedBy/>
  <cp:lastPrinted>2026-01-21T13:16:00Z</cp:lastPrinted>
  <dcterms:modified xsi:type="dcterms:W3CDTF">2026-02-05T15:18:33Z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