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rFonts w:ascii="Times New Roman" w:hAnsi="Times New Roman" w:eastAsia="Times New Roman" w:cs="Times New Roman"/>
          <w:sz w:val="28"/>
          <w:szCs w:val="28"/>
          <w:lang w:eastAsia="ru-RU"/>
        </w:rPr>
      </w:pPr>
      <w:bookmarkStart w:id="0" w:name="_GoBack"/>
      <w:bookmarkEnd w:id="0"/>
      <w:r>
        <w:rPr>
          <w:rFonts w:eastAsia="Times New Roman" w:cs="Times New Roman" w:ascii="Times New Roman" w:hAnsi="Times New Roman"/>
          <w:color w:themeColor="background1" w:val="FFFFFF"/>
          <w:position w:val="6"/>
          <w:sz w:val="26"/>
          <w:szCs w:val="26"/>
          <w:lang w:eastAsia="ru-RU"/>
        </w:rPr>
        <w:t xml:space="preserve">                                                                                             </w:t>
      </w:r>
      <w:r>
        <w:rPr>
          <w:rFonts w:eastAsia="Times New Roman" w:cs="Times New Roman" w:ascii="Times New Roman" w:hAnsi="Times New Roman"/>
          <w:sz w:val="28"/>
          <w:szCs w:val="28"/>
          <w:lang w:eastAsia="ru-RU"/>
        </w:rPr>
        <w:t>УТВЕРЖДЕНА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распоряжением администрации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Копейского городского округа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22.11.2024 № 958-р</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редакции распоряжения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администрации Копейского</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городского округа</w:t>
      </w:r>
    </w:p>
    <w:p>
      <w:pPr>
        <w:pStyle w:val="Normal"/>
        <w:tabs>
          <w:tab w:val="clear" w:pos="708"/>
          <w:tab w:val="left" w:pos="388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ab/>
        <w:t xml:space="preserve">                     от </w:t>
      </w:r>
      <w:r>
        <w:rPr>
          <w:rFonts w:cs="Times New Roman" w:ascii="Times New Roman" w:hAnsi="Times New Roman"/>
          <w:sz w:val="28"/>
          <w:szCs w:val="28"/>
        </w:rPr>
        <w:t xml:space="preserve">24.02.2026 </w:t>
      </w:r>
      <w:r>
        <w:rPr>
          <w:rFonts w:cs="Times New Roman" w:ascii="Times New Roman" w:hAnsi="Times New Roman"/>
          <w:sz w:val="28"/>
          <w:szCs w:val="28"/>
        </w:rPr>
        <w:t xml:space="preserve">№ </w:t>
      </w:r>
      <w:r>
        <w:rPr>
          <w:rFonts w:cs="Times New Roman" w:ascii="Times New Roman" w:hAnsi="Times New Roman"/>
          <w:sz w:val="28"/>
          <w:szCs w:val="28"/>
        </w:rPr>
        <w:t>144-р</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4820" w:leader="none"/>
        </w:tabs>
        <w:spacing w:lineRule="auto" w:line="240" w:before="0" w:after="0"/>
        <w:ind w:left="5103"/>
        <w:rPr>
          <w:rFonts w:ascii="Times New Roman" w:hAnsi="Times New Roman" w:cs="Times New Roman"/>
          <w:color w:themeColor="background1" w:val="FFFFFF"/>
          <w:sz w:val="26"/>
          <w:szCs w:val="26"/>
        </w:rPr>
      </w:pPr>
      <w:r>
        <w:rPr>
          <w:rFonts w:eastAsia="Times New Roman" w:cs="Times New Roman" w:ascii="Times New Roman" w:hAnsi="Times New Roman"/>
          <w:color w:themeColor="background1" w:val="FFFFFF"/>
          <w:position w:val="6"/>
          <w:sz w:val="26"/>
          <w:szCs w:val="26"/>
          <w:lang w:eastAsia="ru-RU"/>
        </w:rPr>
        <w:t xml:space="preserve">№ </w:t>
      </w:r>
      <w:r>
        <w:rPr>
          <w:rFonts w:eastAsia="Times New Roman" w:cs="Times New Roman" w:ascii="Times New Roman" w:hAnsi="Times New Roman"/>
          <w:color w:themeColor="background1" w:val="FFFFFF"/>
          <w:position w:val="6"/>
          <w:sz w:val="26"/>
          <w:szCs w:val="26"/>
          <w:lang w:eastAsia="ru-RU"/>
        </w:rPr>
        <w:t>3369</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Муниципальная программа</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«Поддержка и развитие дошкольного образования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Копейском городском округе» (далее – Программа, городской округ)</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p>
      <w:pPr>
        <w:pStyle w:val="ListParagraph"/>
        <w:spacing w:lineRule="auto" w:line="240" w:before="0" w:after="0"/>
        <w:ind w:left="0"/>
        <w:contextualSpacing/>
        <w:jc w:val="center"/>
        <w:rPr>
          <w:rFonts w:ascii="Times New Roman" w:hAnsi="Times New Roman" w:cs="Times New Roman"/>
          <w:sz w:val="28"/>
          <w:szCs w:val="28"/>
        </w:rPr>
      </w:pPr>
      <w:r>
        <w:rPr>
          <w:rFonts w:cs="Times New Roman" w:ascii="Times New Roman" w:hAnsi="Times New Roman"/>
          <w:sz w:val="26"/>
          <w:szCs w:val="26"/>
        </w:rPr>
        <w:t xml:space="preserve">I. </w:t>
      </w:r>
      <w:r>
        <w:rPr>
          <w:rFonts w:cs="Times New Roman" w:ascii="Times New Roman" w:hAnsi="Times New Roman"/>
          <w:sz w:val="28"/>
          <w:szCs w:val="28"/>
        </w:rPr>
        <w:t>Оценка текущего состояния сферы дошкольного образования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 городском округе</w:t>
      </w:r>
    </w:p>
    <w:p>
      <w:pPr>
        <w:pStyle w:val="Normal"/>
        <w:spacing w:lineRule="auto" w:line="240" w:before="0" w:after="0"/>
        <w:ind w:left="36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 xml:space="preserve">Дошкольное образование является одним из основных и значимых элементов системы общего образования в России. Так, положениями федерального государственного образовательного стандарта дошкольного образования значимость системы дошкольного образования определяется с одной стороны, как самостоятельный этап развития человеческого потенциала, а с другой стороны, как одна из важнейших сторон жизни растущего гражданина страны. </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В системе образования городского округа функционирует                              28 дошкольных образовательных организаций и 8 дошкольных отделений при общеобразовательных организациях, которые на 1 января 2024 года  посещало     7985 человек.</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ru-RU"/>
        </w:rPr>
        <w:t>Все дошкольные организации строят образовательную деятельность на основе Федеральной образовательной программы дошкольного образования (ФОП ДО) и Федерального государственного образовательного стандарта дошкольного образования (ФГОС ДО).</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ru-RU"/>
        </w:rPr>
        <w:t xml:space="preserve">Руководители дошкольных организаций в соответствии с требованиями ФГОС ДО совершенствуют развивающую предметно-пространственную среду, обеспечивая содержательную насыщенность, трансформируемость, полифункциональность, вариативность, доступность в соответствии с возрастными особенностями, а также ее безопасность.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ru-RU"/>
        </w:rPr>
        <w:t>Система дошкольного образования дифференцирована по своему назначению и рассчитана на различные потребности детей в возрасте от 1 года до 8 лет.</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городском округе выполнены задачи, поставленные Президентом Российской Федерации в майских указах (Указ от 07.05.2012 № 599 «О мерах по реализации государственной политики в области образования и науки» и Указ от 07.05.2018 № 204 «О национальных целях и стратегических задачах развития Российской Федерации на период до 2024 года»). К концу 2022 года в городском округе обеспечена 100-процентная доступность дошкольного образования для детей в возрасте с 3 до 7 лет и от 1,5 до 3 лет.</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В дошкольных образовательных организациях городского округа особое внимание уделяется образованию детей с ограниченными возможностями здоровья. В целях социализации детей и получения ими квалифицированной помощи в коррекции имеющихся ограничений в состоянии здоровья в городе функционируют 104 компенсирующих, 131 комбинированных групп, в которых 2572 ребенка с ОВЗ и 127 детей-инвалидов в возрасте от 2 до 7 лет получают коррекционное сопровождение.</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Условием качества образования является соответствующая квалификация педагогических кадров. В сфере дошкольного образования городского округа занято 1976 работников. Образовательный процесс в дошкольных учреждениях осуществляют 805 педагогов. </w:t>
      </w:r>
      <w:r>
        <w:rPr>
          <w:rFonts w:eastAsia="Times New Roman" w:cs="Times New Roman" w:ascii="Times New Roman" w:hAnsi="Times New Roman"/>
          <w:sz w:val="28"/>
          <w:szCs w:val="28"/>
          <w:lang w:eastAsia="ru-RU"/>
        </w:rPr>
        <w:t>Доля воспитателей с высшим образованием в общей численности педагогических работников муниципальных образовательных организаций города составляет 45,2 %, с высшей квалификационной категорией 26,2 %. Из 805 педагогических работников 128 (16,0%) имеют отраслевые почетные звания и награды Российской Федерации.</w:t>
      </w:r>
    </w:p>
    <w:p>
      <w:pPr>
        <w:pStyle w:val="ConsPlusNormal1"/>
        <w:ind w:firstLine="540"/>
        <w:jc w:val="both"/>
        <w:rPr>
          <w:rFonts w:ascii="Times New Roman" w:hAnsi="Times New Roman" w:eastAsia="Times New Roman" w:cs="Times New Roman"/>
          <w:sz w:val="26"/>
          <w:szCs w:val="26"/>
          <w:lang w:eastAsia="en-US"/>
        </w:rPr>
      </w:pPr>
      <w:r>
        <w:rPr>
          <w:rFonts w:eastAsia="Times New Roman" w:cs="Times New Roman" w:ascii="Times New Roman" w:hAnsi="Times New Roman"/>
          <w:sz w:val="26"/>
          <w:szCs w:val="26"/>
          <w:lang w:eastAsia="en-US"/>
        </w:rPr>
      </w:r>
    </w:p>
    <w:p>
      <w:pPr>
        <w:pStyle w:val="11"/>
        <w:rPr>
          <w:b w:val="false"/>
          <w:sz w:val="28"/>
          <w:szCs w:val="28"/>
        </w:rPr>
      </w:pPr>
      <w:r>
        <w:rPr>
          <w:b w:val="false"/>
          <w:sz w:val="28"/>
          <w:szCs w:val="28"/>
        </w:rPr>
        <w:t xml:space="preserve">     </w:t>
      </w:r>
      <w:r>
        <w:rPr>
          <w:b w:val="false"/>
          <w:sz w:val="28"/>
          <w:szCs w:val="28"/>
        </w:rPr>
        <w:t>II. Описание приоритетов и целей муниципальной политики</w:t>
      </w:r>
    </w:p>
    <w:p>
      <w:pPr>
        <w:pStyle w:val="11"/>
        <w:rPr>
          <w:b w:val="false"/>
          <w:sz w:val="28"/>
          <w:szCs w:val="28"/>
        </w:rPr>
      </w:pPr>
      <w:r>
        <w:rPr>
          <w:b w:val="false"/>
          <w:sz w:val="28"/>
          <w:szCs w:val="28"/>
        </w:rPr>
        <w:t>в сфере реализации Программы (в том числе в соответствии со Стратегией социально-экономического развития Копейского городского округа</w:t>
      </w:r>
    </w:p>
    <w:p>
      <w:pPr>
        <w:pStyle w:val="11"/>
        <w:rPr>
          <w:b w:val="false"/>
          <w:sz w:val="28"/>
          <w:szCs w:val="28"/>
        </w:rPr>
      </w:pPr>
      <w:r>
        <w:rPr>
          <w:b w:val="false"/>
          <w:sz w:val="28"/>
          <w:szCs w:val="28"/>
        </w:rPr>
        <w:t>на период до 2035 года)</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 xml:space="preserve">Приоритеты и цели муниципальной политики в сфере образования определены исходя из приоритетов и целей государственной политики в сфере образования и соответствуют национальным целям развития Российской Федерации, определенным Указом Президента Российской Федерации от 07.05.2024 № 309 «О национальных целях развития Российской Федерации на период до 2030 года и на перспективу до 2036 года», и целям Стратегии социально-экономического развития Копейского городского округа на период до 2035 года, утвержденной </w:t>
      </w:r>
      <w:r>
        <w:fldChar w:fldCharType="begin"/>
      </w:r>
      <w:r>
        <w:rPr>
          <w:rStyle w:val="Style"/>
          <w:sz w:val="28"/>
          <w:szCs w:val="28"/>
          <w:rFonts w:eastAsia="Calibri" w:cs="Times New Roman" w:ascii="Times New Roman" w:hAnsi="Times New Roman"/>
          <w:lang w:eastAsia="en-US"/>
        </w:rPr>
        <w:instrText xml:space="preserve"> HYPERLINK "https://docs.cntd.ru/document/553133071" \l "64U0IK"</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решением Собрания депутатов Копейского городского округа от 19.12.2022 № 647-МО</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 xml:space="preserve"> (далее – Стратегия-2035), и направлены на решение стратегической задачи: повышение уровня и качества жизни населения городского округа.</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Программа содержит комплекс планируемых мероприятий, взаимоувязанных по задачам, срокам осуществления, исполнителям и ресурсам, обеспечивающих наиболее эффективное достижение целей и решение задач социально-экономического развития города, достижение приоритетов и целей социально-экономического развития, определенных в Стратегии-2035, прогнозе социально-экономического развития городского округа, бюджетном прогнозе города на долгосрочный период.</w:t>
      </w:r>
    </w:p>
    <w:p>
      <w:pPr>
        <w:pStyle w:val="ConsPlusNormal1"/>
        <w:ind w:firstLine="540"/>
        <w:jc w:val="both"/>
        <w:rPr>
          <w:rFonts w:ascii="Times New Roman" w:hAnsi="Times New Roman" w:cs="Times New Roman"/>
          <w:sz w:val="28"/>
          <w:szCs w:val="28"/>
        </w:rPr>
      </w:pPr>
      <w:r>
        <w:rPr>
          <w:rFonts w:eastAsia="Calibri" w:cs="Times New Roman" w:ascii="Times New Roman" w:hAnsi="Times New Roman" w:eastAsiaTheme="minorHAnsi"/>
          <w:sz w:val="28"/>
          <w:szCs w:val="28"/>
          <w:lang w:eastAsia="en-US"/>
        </w:rPr>
        <w:t>Реализация муниципальной политики в сфере образования на территории города обеспечивается в соответствии с национальным проектом «Образование», Стратегией-2035 года и направлена на предоставление доступного качественного образования при</w:t>
      </w:r>
      <w:r>
        <w:rPr>
          <w:rFonts w:cs="Times New Roman" w:ascii="Times New Roman" w:hAnsi="Times New Roman"/>
          <w:sz w:val="28"/>
          <w:szCs w:val="28"/>
        </w:rPr>
        <w:t xml:space="preserve"> эффективном использовании имеющихся ресурсов с учетом приоритетов социально-экономического развития города.</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11"/>
        <w:rPr>
          <w:b w:val="false"/>
          <w:sz w:val="28"/>
          <w:szCs w:val="28"/>
        </w:rPr>
      </w:pPr>
      <w:r>
        <w:rPr>
          <w:b w:val="false"/>
          <w:sz w:val="28"/>
          <w:szCs w:val="28"/>
        </w:rPr>
        <w:t>III. Сведения о взаимоувязке со стратегическими приоритетами, целями и показателями государственных программ</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Основными приоритетами и целями государственной политики в сфере дошкольного образования в городском округе являются решение социально-экономических задач, обеспечивающих социальную удовлетворенность населения Челябинской области, и реализация прав на общедоступное и бесплатное образование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Выбор приоритетов Программы определен:</w:t>
      </w:r>
    </w:p>
    <w:p>
      <w:pPr>
        <w:pStyle w:val="ConsPlusNormal1"/>
        <w:ind w:firstLine="540"/>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 xml:space="preserve">- </w:t>
      </w:r>
      <w:r>
        <w:fldChar w:fldCharType="begin"/>
      </w:r>
      <w:r>
        <w:rPr>
          <w:rStyle w:val="Style"/>
          <w:sz w:val="28"/>
          <w:szCs w:val="28"/>
          <w:rFonts w:eastAsia="Calibri" w:cs="Times New Roman" w:ascii="Times New Roman" w:hAnsi="Times New Roman"/>
          <w:lang w:eastAsia="en-US"/>
        </w:rPr>
        <w:instrText xml:space="preserve"> HYPERLINK "https://docs.cntd.ru/document/902389617" \l "7D20K3"</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Федеральным законом от 29 декабря 2012 года № 273-ФЗ «Об образовании в Российской Федерации</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w:t>
      </w:r>
    </w:p>
    <w:p>
      <w:pPr>
        <w:pStyle w:val="ConsPlusNormal1"/>
        <w:ind w:firstLine="540"/>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 xml:space="preserve">- </w:t>
      </w:r>
      <w:r>
        <w:fldChar w:fldCharType="begin"/>
      </w:r>
      <w:r>
        <w:rPr>
          <w:rStyle w:val="Style"/>
          <w:sz w:val="28"/>
          <w:szCs w:val="28"/>
          <w:rFonts w:eastAsia="Calibri" w:cs="Times New Roman" w:ascii="Times New Roman" w:hAnsi="Times New Roman"/>
          <w:lang w:eastAsia="en-US"/>
        </w:rPr>
        <w:instrText xml:space="preserve"> HYPERLINK "https://docs.cntd.ru/document/902345105" \l "7D20K3"</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Указом Президента Российской Федерации от 07.05.2012 № 599 «О мерах по реализации государственной политики в области образования и науки</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w:t>
      </w:r>
    </w:p>
    <w:p>
      <w:pPr>
        <w:pStyle w:val="ConsPlusNormal1"/>
        <w:ind w:firstLine="540"/>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 xml:space="preserve">- </w:t>
      </w:r>
      <w:r>
        <w:fldChar w:fldCharType="begin"/>
      </w:r>
      <w:r>
        <w:rPr>
          <w:rStyle w:val="Style"/>
          <w:sz w:val="28"/>
          <w:szCs w:val="28"/>
          <w:rFonts w:eastAsia="Calibri" w:cs="Times New Roman" w:ascii="Times New Roman" w:hAnsi="Times New Roman"/>
          <w:lang w:eastAsia="en-US"/>
        </w:rPr>
        <w:instrText xml:space="preserve"> HYPERLINK "https://docs.cntd.ru/document/557309575" \l "7D20K3"</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Указом Президента Российской Федерации от 07.05.2018 № 204                        «О национальных целях и стратегических задачах развития Российской Федерации на период до 2024 года</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w:t>
      </w:r>
    </w:p>
    <w:p>
      <w:pPr>
        <w:pStyle w:val="ConsPlusNormal1"/>
        <w:ind w:firstLine="540"/>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 xml:space="preserve">- </w:t>
      </w:r>
      <w:r>
        <w:fldChar w:fldCharType="begin"/>
      </w:r>
      <w:r>
        <w:rPr>
          <w:rStyle w:val="Style"/>
          <w:sz w:val="28"/>
          <w:szCs w:val="28"/>
          <w:rFonts w:eastAsia="Calibri" w:cs="Times New Roman" w:ascii="Times New Roman" w:hAnsi="Times New Roman"/>
          <w:lang w:eastAsia="en-US"/>
        </w:rPr>
        <w:instrText xml:space="preserve"> HYPERLINK "https://docs.cntd.ru/document/556183093" \l "7D20K3"</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постановлением Правительства Российской Федерации от 26.12.2017           № 1642 «Об утверждении государственной программы Российской Федерации «Развитие образования</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 приоритетами национального проекта «Демография»;</w:t>
      </w:r>
    </w:p>
    <w:p>
      <w:pPr>
        <w:pStyle w:val="ConsPlusNormal1"/>
        <w:ind w:firstLine="540"/>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 xml:space="preserve">- </w:t>
      </w:r>
      <w:r>
        <w:fldChar w:fldCharType="begin"/>
      </w:r>
      <w:r>
        <w:rPr>
          <w:rStyle w:val="Style"/>
          <w:sz w:val="28"/>
          <w:szCs w:val="28"/>
          <w:rFonts w:eastAsia="Calibri" w:cs="Times New Roman" w:ascii="Times New Roman" w:hAnsi="Times New Roman"/>
          <w:lang w:eastAsia="en-US"/>
        </w:rPr>
        <w:instrText xml:space="preserve"> HYPERLINK "https://docs.cntd.ru/document/553133071" \l "64U0IK"</w:instrText>
      </w:r>
      <w:r>
        <w:rPr>
          <w:rStyle w:val="Style"/>
          <w:sz w:val="28"/>
          <w:szCs w:val="28"/>
          <w:rFonts w:eastAsia="Calibri" w:cs="Times New Roman" w:ascii="Times New Roman" w:hAnsi="Times New Roman"/>
          <w:lang w:eastAsia="en-US"/>
        </w:rPr>
        <w:fldChar w:fldCharType="separate"/>
      </w:r>
      <w:r>
        <w:rPr>
          <w:rStyle w:val="Style"/>
          <w:rFonts w:eastAsia="Calibri" w:cs="Times New Roman" w:ascii="Times New Roman" w:hAnsi="Times New Roman" w:eastAsiaTheme="minorHAnsi"/>
          <w:sz w:val="28"/>
          <w:szCs w:val="28"/>
          <w:lang w:eastAsia="en-US"/>
        </w:rPr>
        <w:t>Стратегией-</w:t>
      </w:r>
      <w:r>
        <w:rPr>
          <w:rStyle w:val="Style"/>
          <w:sz w:val="28"/>
          <w:szCs w:val="28"/>
          <w:rFonts w:eastAsia="Calibri" w:cs="Times New Roman" w:ascii="Times New Roman" w:hAnsi="Times New Roman"/>
          <w:lang w:eastAsia="en-US"/>
        </w:rPr>
        <w:fldChar w:fldCharType="end"/>
      </w:r>
      <w:r>
        <w:rPr>
          <w:rFonts w:eastAsia="Calibri" w:cs="Times New Roman" w:ascii="Times New Roman" w:hAnsi="Times New Roman" w:eastAsiaTheme="minorHAnsi"/>
          <w:sz w:val="28"/>
          <w:szCs w:val="28"/>
          <w:lang w:eastAsia="en-US"/>
        </w:rPr>
        <w:t>2035.</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Стратегией-2035 в рамках стратегического приоритета «Развитие социальной сферы города» в целях обеспечения высокого качества и доступности образования всех видов и уровней в различных направлениях для всех возрастных категорий населения городского округа определена задача «Обеспечение доступности дошкольного, общего, среднего и дополнительного образования детей», на реализацию которой направлена Программа.</w:t>
      </w:r>
    </w:p>
    <w:p>
      <w:pPr>
        <w:pStyle w:val="ConsPlusNormal1"/>
        <w:ind w:firstLine="540"/>
        <w:jc w:val="both"/>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p>
      <w:pPr>
        <w:pStyle w:val="11"/>
        <w:rPr>
          <w:b w:val="false"/>
          <w:sz w:val="28"/>
          <w:szCs w:val="28"/>
        </w:rPr>
      </w:pPr>
      <w:r>
        <w:rPr>
          <w:b w:val="false"/>
          <w:sz w:val="28"/>
          <w:szCs w:val="28"/>
        </w:rPr>
        <w:t>IV. Задачи муниципального управления, способы их эффективного решения в соответствующей отрасли экономики и сфере муниципального управления</w:t>
      </w:r>
    </w:p>
    <w:p>
      <w:pPr>
        <w:pStyle w:val="ConsPlusNormal1"/>
        <w:ind w:firstLine="540"/>
        <w:jc w:val="both"/>
        <w:rPr>
          <w:rFonts w:ascii="Times New Roman" w:hAnsi="Times New Roman" w:cs="Times New Roman"/>
          <w:sz w:val="26"/>
          <w:szCs w:val="26"/>
        </w:rPr>
      </w:pPr>
      <w:r>
        <w:rPr>
          <w:rFonts w:cs="Times New Roman" w:ascii="Times New Roman" w:hAnsi="Times New Roman"/>
          <w:sz w:val="26"/>
          <w:szCs w:val="26"/>
        </w:rPr>
      </w:r>
    </w:p>
    <w:p>
      <w:pPr>
        <w:pStyle w:val="ConsPlusNormal1"/>
        <w:ind w:firstLine="539"/>
        <w:jc w:val="both"/>
        <w:rPr>
          <w:rFonts w:ascii="Times New Roman" w:hAnsi="Times New Roman" w:cs="Times New Roman"/>
          <w:sz w:val="28"/>
          <w:szCs w:val="28"/>
        </w:rPr>
      </w:pPr>
      <w:r>
        <w:rPr>
          <w:rFonts w:cs="Times New Roman" w:ascii="Times New Roman" w:hAnsi="Times New Roman"/>
          <w:sz w:val="28"/>
          <w:szCs w:val="28"/>
        </w:rPr>
        <w:t>Ответственным исполнителем Программы является Управление образования администрации городского округа.</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рамках направления </w:t>
      </w:r>
      <w:r>
        <w:rPr>
          <w:rFonts w:cs="Times New Roman" w:ascii="Times New Roman" w:hAnsi="Times New Roman"/>
          <w:sz w:val="28"/>
          <w:szCs w:val="28"/>
        </w:rPr>
        <w:t>«</w:t>
      </w:r>
      <w:r>
        <w:rPr>
          <w:rFonts w:eastAsia="Times New Roman" w:cs="Times New Roman" w:ascii="Times New Roman" w:hAnsi="Times New Roman"/>
          <w:sz w:val="28"/>
          <w:szCs w:val="28"/>
          <w:lang w:eastAsia="ru-RU"/>
        </w:rPr>
        <w:t>Обеспечение и сохранение 100-процентной доступности качественного дошкольного образования» установлены следующие задачи:</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дети в возрасте от 1,5 до 3 лет имеют возможность получать дошкольное образование;</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дети дошкольного возраста с ограниченными возможностями здоровья имеют возможность получать коррекционное образование;</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обеспечена возможность детям получать качественное дошкольное образование в условиях, отвечающих современным требованиям, независимо от места проживания ребенка.</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рамках направления «Финансовое обеспечение развития дошкольного образования» основной задачей дошкольного образования является удовлетворение потребности всех социально-демографических групп и слоев населения городского округа в услугах по дошкольному образованию.</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Механизмы реализации Программы включают в себя: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предоставление субсидий местным бюджетам на приобретение и строительство помещений для размещения дошкольных образовательных организаций;</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предоставление субсидий юридическим лицам и индивидуальным предпринимателям на возмещение затрат на создание дополнительных мест для детей в возрасте от 1,5 до 3 лет любой направленности в образовательных организациях;</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проведение капитального ремонта зданий и сооружений дошкольного образования, а также оснащение их современным оборудованием и другие.</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приобретению зданий и помещений для размещения дошкольных образовательных организаций в целях создания дополнительных мест для детей дошкольного возраста будет достигнут путем предоставления субсидий на приобретение зданий и помещений для размещения дошкольных образовательных организаций в целях создания дополнительных мест для детей дошкольного возраста.</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строительству зданий для размещения дошкольных образовательных организаций в целях создания дополнительных мест для детей дошкольного возраста будет достигнут путем предоставления субсидий на строительство зданий для размещения дошкольных образовательных организаций в целях создания дополнительных мест для детей дошкольного возраста.</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созданию в расположенных на территории городского округа муниципальных образовательных организациях, реализующих образовательные программы дошкольного образования, условий для получения детьми дошкольного возраста с ограниченными возможностями здоровья качественного образования и коррекции развития будет достигнут путем предоставления субсидий на создание в расположенных на территории городского округа муниципальных образовательных организациях, реализующих образовательные программы дошкольного образования, условий для получения детьми дошкольного возраста с ограниченными возможностями здоровья качественного образования и коррекции развития.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проведению капитального ремонта зданий и сооружений муниципальных организаций дошкольного образования будет достигнут путем предоставления субсидий на проведение капитального ремонта зданий и сооружений муниципальных организаций дошкольного образования.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оснащению современным оборудованием муниципальных образовательных организаций, реализующих образовательные программы дошкольного образования, для получения детьми качественного образования будет достигнут путем предоставления субсидий на оснащение современным оборудованием муниципальных образовательных организаций, реализующих образовательные программы дошкольного образования, для получения детьми качественного образования.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мероприятия по приобретению наглядных материалов, пропагандирующих необходимость гигиены полости рта, для муниципальных образовательных организаций, реализующих образовательные программы дошкольного образования, в целях формирования здорового образа жизни детей дошкольного возраста будет достигнут путем предоставления субсидий на реализацию мероприятия «Приобретение наглядных материалов (комплекс «Зубная фея») в целях формирования здорового образа жизни детей дошкольного возраста в муниципальных образовательных организациях, реализующих образовательные программы дошкольного образования».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разработке проектно-сметной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будут достигнуты путем предоставления субсидий на разработку проектно-сметной документации и оплату услуг государственной экспертизы для проведения капитального ремонта зданий и сооружений муниципальных организаций дошкольного образования.</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реализации мероприятия по привлечению детей из малообеспеченных, неблагополучных семей, а также семей, оказавшихся в трудной жизненной ситуации, в расположенные на территории городского округа муниципальные образовательные организации, реализующие образовательные программы дошкольного образования, через предоставление компенсации части родительской платы будет достигнут путем предоставления субсидий на привлечение детей из малообеспеченных, неблагополучных семей, а также семей, оказавшихся в трудной жизненной ситуации, в расположенные на территории городского округа муниципальные образовательные организации, реализующие образовательные программы дошкольного образования, через предоставление компенсации части родительской платы.</w:t>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3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 городского округа</w:t>
      </w:r>
    </w:p>
    <w:p>
      <w:pPr>
        <w:sectPr>
          <w:headerReference w:type="even" r:id="rId2"/>
          <w:headerReference w:type="default" r:id="rId3"/>
          <w:headerReference w:type="first" r:id="rId4"/>
          <w:type w:val="nextPage"/>
          <w:pgSz w:w="11906" w:h="16838"/>
          <w:pgMar w:left="1701" w:right="707" w:gutter="0" w:header="709" w:top="1134" w:footer="0" w:bottom="993"/>
          <w:pgNumType w:fmt="decimal"/>
          <w:formProt w:val="false"/>
          <w:titlePg/>
          <w:textDirection w:val="lrTb"/>
          <w:docGrid w:type="default" w:linePitch="360" w:charSpace="4096"/>
        </w:sectPr>
        <w:pStyle w:val="Normal"/>
        <w:tabs>
          <w:tab w:val="clear" w:pos="708"/>
          <w:tab w:val="left" w:pos="6345" w:leader="none"/>
          <w:tab w:val="left" w:pos="7140" w:leader="none"/>
        </w:tabs>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 социальному развитию</w:t>
        <w:tab/>
        <w:t xml:space="preserve">             А.А. Ангеловский</w:t>
        <w:tab/>
      </w:r>
    </w:p>
    <w:p>
      <w:pPr>
        <w:pStyle w:val="Normal"/>
        <w:spacing w:lineRule="auto" w:line="240" w:before="0" w:after="0"/>
        <w:ind w:firstLine="709"/>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 xml:space="preserve">                                                                                                                                                                  </w:t>
      </w:r>
      <w:r>
        <w:rPr>
          <w:rFonts w:eastAsia="Calibri" w:cs="Times New Roman" w:ascii="Times New Roman" w:hAnsi="Times New Roman"/>
          <w:kern w:val="2"/>
          <w:sz w:val="28"/>
          <w14:ligatures w14:val="standardContextual"/>
        </w:rPr>
        <w:t xml:space="preserve">Приложение </w:t>
      </w:r>
    </w:p>
    <w:p>
      <w:pPr>
        <w:pStyle w:val="Normal"/>
        <w:spacing w:lineRule="auto" w:line="240" w:before="0" w:after="0"/>
        <w:ind w:firstLine="709"/>
        <w:jc w:val="right"/>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к муниципальной программе</w:t>
      </w:r>
    </w:p>
    <w:p>
      <w:pPr>
        <w:pStyle w:val="Normal"/>
        <w:spacing w:lineRule="auto" w:line="240" w:before="0" w:after="0"/>
        <w:ind w:firstLine="709"/>
        <w:jc w:val="right"/>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r>
    </w:p>
    <w:p>
      <w:pPr>
        <w:pStyle w:val="Normal"/>
        <w:spacing w:lineRule="auto" w:line="240" w:before="0" w:after="0"/>
        <w:ind w:firstLine="709"/>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 xml:space="preserve"> </w:t>
      </w:r>
      <w:r>
        <w:rPr>
          <w:rFonts w:eastAsia="Calibri" w:cs="Times New Roman" w:ascii="Times New Roman" w:hAnsi="Times New Roman"/>
          <w:kern w:val="2"/>
          <w:sz w:val="28"/>
          <w14:ligatures w14:val="standardContextual"/>
        </w:rPr>
        <w:t>ПАСПОРТ</w:t>
      </w:r>
    </w:p>
    <w:p>
      <w:pPr>
        <w:pStyle w:val="Normal"/>
        <w:spacing w:lineRule="auto" w:line="240" w:before="0" w:after="0"/>
        <w:ind w:firstLine="709"/>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муниципальной программы</w:t>
      </w:r>
    </w:p>
    <w:p>
      <w:pPr>
        <w:pStyle w:val="Normal"/>
        <w:tabs>
          <w:tab w:val="clear" w:pos="708"/>
          <w:tab w:val="left" w:pos="2565" w:leader="none"/>
        </w:tabs>
        <w:spacing w:lineRule="auto" w:line="240" w:before="0" w:after="0"/>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 xml:space="preserve">         </w:t>
      </w:r>
      <w:r>
        <w:rPr>
          <w:rFonts w:eastAsia="Calibri" w:cs="Times New Roman" w:ascii="Times New Roman" w:hAnsi="Times New Roman"/>
          <w:kern w:val="2"/>
          <w:sz w:val="28"/>
          <w14:ligatures w14:val="standardContextual"/>
        </w:rPr>
        <w:t>«Поддержка и развитие дошкольного образования</w:t>
      </w:r>
    </w:p>
    <w:p>
      <w:pPr>
        <w:pStyle w:val="Normal"/>
        <w:tabs>
          <w:tab w:val="clear" w:pos="708"/>
          <w:tab w:val="left" w:pos="2565" w:leader="none"/>
        </w:tabs>
        <w:spacing w:lineRule="auto" w:line="240" w:before="0" w:after="0"/>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 xml:space="preserve">           </w:t>
      </w:r>
      <w:r>
        <w:rPr>
          <w:rFonts w:eastAsia="Calibri" w:cs="Times New Roman" w:ascii="Times New Roman" w:hAnsi="Times New Roman"/>
          <w:kern w:val="2"/>
          <w:sz w:val="28"/>
          <w14:ligatures w14:val="standardContextual"/>
        </w:rPr>
        <w:t>в Копейском городском округе»</w:t>
      </w:r>
    </w:p>
    <w:p>
      <w:pPr>
        <w:pStyle w:val="Normal"/>
        <w:tabs>
          <w:tab w:val="clear" w:pos="708"/>
          <w:tab w:val="left" w:pos="2565" w:leader="none"/>
        </w:tabs>
        <w:spacing w:lineRule="auto" w:line="240" w:before="0" w:after="0"/>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r>
    </w:p>
    <w:p>
      <w:pPr>
        <w:pStyle w:val="Normal"/>
        <w:spacing w:lineRule="auto" w:line="240" w:before="0" w:after="0"/>
        <w:ind w:firstLine="709"/>
        <w:jc w:val="center"/>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1. Основные положения</w:t>
      </w:r>
    </w:p>
    <w:tbl>
      <w:tblPr>
        <w:tblW w:w="5000" w:type="pct"/>
        <w:jc w:val="left"/>
        <w:tblInd w:w="-459" w:type="dxa"/>
        <w:tblLayout w:type="fixed"/>
        <w:tblCellMar>
          <w:top w:w="0" w:type="dxa"/>
          <w:left w:w="108" w:type="dxa"/>
          <w:bottom w:w="0" w:type="dxa"/>
          <w:right w:w="108" w:type="dxa"/>
        </w:tblCellMar>
        <w:tblLook w:val="01e0" w:noHBand="0" w:noVBand="0" w:firstColumn="1" w:lastRow="1" w:lastColumn="1" w:firstRow="1"/>
      </w:tblPr>
      <w:tblGrid>
        <w:gridCol w:w="4615"/>
        <w:gridCol w:w="4588"/>
        <w:gridCol w:w="5509"/>
      </w:tblGrid>
      <w:tr>
        <w:trPr>
          <w:trHeight w:val="371" w:hRule="atLeast"/>
        </w:trPr>
        <w:tc>
          <w:tcPr>
            <w:tcW w:w="46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Куратор муниципальной программы</w:t>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Ангеловский Алексей Анатольевич</w:t>
            </w:r>
          </w:p>
        </w:tc>
      </w:tr>
      <w:tr>
        <w:trPr>
          <w:trHeight w:val="525" w:hRule="atLeast"/>
        </w:trPr>
        <w:tc>
          <w:tcPr>
            <w:tcW w:w="46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Ответственный исполнитель муниципальной программы</w:t>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Управление образования администрации Копейского городского округа (далее – управление образования администрации, городской округ)</w:t>
            </w:r>
          </w:p>
        </w:tc>
      </w:tr>
      <w:tr>
        <w:trPr>
          <w:trHeight w:val="235" w:hRule="atLeast"/>
        </w:trPr>
        <w:tc>
          <w:tcPr>
            <w:tcW w:w="4615" w:type="dxa"/>
            <w:tcBorders>
              <w:top w:val="single" w:sz="4" w:space="0" w:color="000000"/>
              <w:left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Соисполнители муниципальной программы</w:t>
            </w:r>
          </w:p>
        </w:tc>
        <w:tc>
          <w:tcPr>
            <w:tcW w:w="10097" w:type="dxa"/>
            <w:gridSpan w:val="2"/>
            <w:tcBorders>
              <w:top w:val="single" w:sz="4" w:space="0" w:color="000000"/>
              <w:left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Муниципальное учреждение Копейского городского округа «Управление строительства» (далее – управление строительства)</w:t>
            </w:r>
          </w:p>
        </w:tc>
      </w:tr>
      <w:tr>
        <w:trPr>
          <w:trHeight w:val="229" w:hRule="atLeast"/>
        </w:trPr>
        <w:tc>
          <w:tcPr>
            <w:tcW w:w="4615" w:type="dxa"/>
            <w:tcBorders>
              <w:top w:val="single" w:sz="4" w:space="0" w:color="000000"/>
              <w:left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Участники муниципальной программы</w:t>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Образовательные организации, организации дополнительного образования, прочие организации, государственные, муниципальные и общественные организации, влияющие на реализацию государственной политики в сфере образования</w:t>
            </w:r>
          </w:p>
        </w:tc>
      </w:tr>
      <w:tr>
        <w:trPr>
          <w:trHeight w:val="237" w:hRule="atLeast"/>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Период реализации муниципальной программы </w:t>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Этап </w:t>
            </w:r>
            <w:r>
              <w:rPr>
                <w:rFonts w:eastAsia="Times New Roman" w:cs="Times New Roman" w:ascii="Times New Roman" w:hAnsi="Times New Roman"/>
                <w:sz w:val="24"/>
                <w:szCs w:val="24"/>
                <w:lang w:val="en-US" w:eastAsia="ru-RU"/>
              </w:rPr>
              <w:t>I</w:t>
            </w:r>
            <w:r>
              <w:rPr>
                <w:rFonts w:eastAsia="Times New Roman" w:cs="Times New Roman" w:ascii="Times New Roman" w:hAnsi="Times New Roman"/>
                <w:sz w:val="24"/>
                <w:szCs w:val="24"/>
                <w:lang w:eastAsia="ru-RU"/>
              </w:rPr>
              <w:t>: 2025-2027 годы</w:t>
            </w:r>
          </w:p>
        </w:tc>
      </w:tr>
      <w:tr>
        <w:trPr>
          <w:trHeight w:val="228" w:hRule="atLeast"/>
        </w:trPr>
        <w:tc>
          <w:tcPr>
            <w:tcW w:w="4615"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Этап </w:t>
            </w:r>
            <w:r>
              <w:rPr>
                <w:rFonts w:eastAsia="Times New Roman" w:cs="Times New Roman" w:ascii="Times New Roman" w:hAnsi="Times New Roman"/>
                <w:sz w:val="24"/>
                <w:szCs w:val="24"/>
                <w:lang w:val="en-US" w:eastAsia="ru-RU"/>
              </w:rPr>
              <w:t>II</w:t>
            </w:r>
            <w:r>
              <w:rPr>
                <w:rFonts w:eastAsia="Times New Roman" w:cs="Times New Roman" w:ascii="Times New Roman" w:hAnsi="Times New Roman"/>
                <w:sz w:val="24"/>
                <w:szCs w:val="24"/>
                <w:lang w:eastAsia="ru-RU"/>
              </w:rPr>
              <w:t>:2028-2030 годы</w:t>
            </w:r>
          </w:p>
        </w:tc>
      </w:tr>
      <w:tr>
        <w:trPr>
          <w:trHeight w:val="222" w:hRule="atLeast"/>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Цели/задачи муниципальной программы</w:t>
            </w:r>
          </w:p>
        </w:tc>
        <w:tc>
          <w:tcPr>
            <w:tcW w:w="458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rPr>
                <w:rFonts w:ascii="Times New Roman" w:hAnsi="Times New Roman" w:eastAsia="Calibri" w:cs="Times New Roman"/>
                <w:kern w:val="2"/>
                <w:sz w:val="24"/>
                <w:szCs w:val="24"/>
                <w14:ligatures w14:val="standardContextual"/>
              </w:rPr>
            </w:pPr>
            <w:r>
              <w:rPr>
                <w:rFonts w:eastAsia="Calibri" w:cs="Times New Roman" w:ascii="Times New Roman" w:hAnsi="Times New Roman"/>
                <w:color w:val="000000"/>
                <w:kern w:val="2"/>
                <w:sz w:val="24"/>
                <w:szCs w:val="24"/>
                <w14:ligatures w14:val="standardContextual"/>
              </w:rPr>
              <w:t xml:space="preserve">Цель: </w:t>
            </w:r>
            <w:r>
              <w:rPr>
                <w:rFonts w:eastAsia="Calibri" w:cs="Times New Roman" w:ascii="Times New Roman" w:hAnsi="Times New Roman"/>
                <w:kern w:val="2"/>
                <w:sz w:val="24"/>
                <w:szCs w:val="24"/>
                <w14:ligatures w14:val="standardContextual"/>
              </w:rPr>
              <w:t xml:space="preserve">предоставление равных возможностей для получения гражданами качественного образования всех видов и уровней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Calibri" w:cs="Times New Roman"/>
                <w:color w:val="000000"/>
                <w:kern w:val="2"/>
                <w:sz w:val="24"/>
                <w:szCs w:val="24"/>
                <w14:ligatures w14:val="standardContextual"/>
              </w:rPr>
            </w:pPr>
            <w:r>
              <w:rPr>
                <w:rFonts w:eastAsia="Calibri" w:cs="Times New Roman" w:ascii="Times New Roman" w:hAnsi="Times New Roman"/>
                <w:color w:val="000000"/>
                <w:kern w:val="2"/>
                <w:sz w:val="24"/>
                <w:szCs w:val="24"/>
                <w14:ligatures w14:val="standardContextual"/>
              </w:rPr>
            </w:r>
          </w:p>
        </w:tc>
        <w:tc>
          <w:tcPr>
            <w:tcW w:w="5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1. Обеспечение условий для сохранения доступного дошкольного образования для детей всех возрастных категорий</w:t>
            </w:r>
          </w:p>
        </w:tc>
      </w:tr>
      <w:tr>
        <w:trPr>
          <w:trHeight w:val="222" w:hRule="atLeast"/>
        </w:trPr>
        <w:tc>
          <w:tcPr>
            <w:tcW w:w="4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58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2. Обеспечение доступности качественного дошкольного образования населению городского округа</w:t>
            </w:r>
          </w:p>
        </w:tc>
      </w:tr>
      <w:tr>
        <w:trPr>
          <w:trHeight w:val="222" w:hRule="atLeast"/>
        </w:trPr>
        <w:tc>
          <w:tcPr>
            <w:tcW w:w="4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5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color w:val="000000"/>
                <w:kern w:val="2"/>
                <w:sz w:val="24"/>
                <w:szCs w:val="24"/>
                <w14:ligatures w14:val="standardContextual"/>
              </w:rPr>
            </w:pPr>
            <w:r>
              <w:rPr>
                <w:rFonts w:eastAsia="Calibri" w:cs="Times New Roman" w:ascii="Times New Roman" w:hAnsi="Times New Roman"/>
                <w:color w:val="000000"/>
                <w:kern w:val="2"/>
                <w:sz w:val="24"/>
                <w:szCs w:val="24"/>
                <w14:ligatures w14:val="standardContextual"/>
              </w:rPr>
            </w:r>
          </w:p>
        </w:tc>
        <w:tc>
          <w:tcPr>
            <w:tcW w:w="55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3. Модернизация и качественное улучшение содержания, форм и методов организации дошкольного образования в муниципальных образовательных учреждениях, реализующих образовательные программы дошкольного образования,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w:t>
            </w:r>
          </w:p>
        </w:tc>
      </w:tr>
      <w:tr>
        <w:trPr>
          <w:trHeight w:val="222" w:hRule="atLeast"/>
        </w:trPr>
        <w:tc>
          <w:tcPr>
            <w:tcW w:w="4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5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color w:val="000000"/>
                <w:kern w:val="2"/>
                <w:sz w:val="24"/>
                <w:szCs w:val="24"/>
                <w14:ligatures w14:val="standardContextual"/>
              </w:rPr>
            </w:pPr>
            <w:r>
              <w:rPr>
                <w:rFonts w:eastAsia="Calibri" w:cs="Times New Roman" w:ascii="Times New Roman" w:hAnsi="Times New Roman"/>
                <w:color w:val="000000"/>
                <w:kern w:val="2"/>
                <w:sz w:val="24"/>
                <w:szCs w:val="24"/>
                <w14:ligatures w14:val="standardContextual"/>
              </w:rPr>
            </w:r>
          </w:p>
        </w:tc>
        <w:tc>
          <w:tcPr>
            <w:tcW w:w="5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Задача 4. Развитие кадрового потенциала системы дошкольного образования городского округа  </w:t>
            </w:r>
          </w:p>
        </w:tc>
      </w:tr>
      <w:tr>
        <w:trPr>
          <w:trHeight w:val="225" w:hRule="atLeast"/>
        </w:trPr>
        <w:tc>
          <w:tcPr>
            <w:tcW w:w="4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58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5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5. Реализация         финансово-экономического      механизма обеспечения устойчивого финансирования муниципальных дошкольных образовательных учреждений городского округа</w:t>
            </w:r>
          </w:p>
        </w:tc>
      </w:tr>
      <w:tr>
        <w:trPr>
          <w:trHeight w:val="561" w:hRule="atLeast"/>
        </w:trPr>
        <w:tc>
          <w:tcPr>
            <w:tcW w:w="4615" w:type="dxa"/>
            <w:tcBorders>
              <w:top w:val="single" w:sz="4" w:space="0" w:color="000000"/>
              <w:left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Подпрограммы </w:t>
            </w:r>
          </w:p>
        </w:tc>
        <w:tc>
          <w:tcPr>
            <w:tcW w:w="10097" w:type="dxa"/>
            <w:gridSpan w:val="2"/>
            <w:tcBorders>
              <w:top w:val="single" w:sz="4" w:space="0" w:color="000000"/>
              <w:left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Нет</w:t>
            </w:r>
          </w:p>
        </w:tc>
      </w:tr>
      <w:tr>
        <w:trPr>
          <w:trHeight w:val="461" w:hRule="atLeast"/>
        </w:trPr>
        <w:tc>
          <w:tcPr>
            <w:tcW w:w="46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Объемы финансового обеспечения за весь период реализации (тыс. руб.)</w:t>
            </w:r>
          </w:p>
        </w:tc>
        <w:tc>
          <w:tcPr>
            <w:tcW w:w="100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lang w:eastAsia="ru-RU"/>
              </w:rPr>
              <w:t>5759925,90</w:t>
            </w:r>
          </w:p>
        </w:tc>
      </w:tr>
      <w:tr>
        <w:trPr>
          <w:trHeight w:val="697" w:hRule="atLeast"/>
        </w:trPr>
        <w:tc>
          <w:tcPr>
            <w:tcW w:w="46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Связь с национальными целями развития Российской Федерации/ государственной программой</w:t>
            </w:r>
          </w:p>
        </w:tc>
        <w:tc>
          <w:tcPr>
            <w:tcW w:w="1009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Государственная программа Челябинской области «Поддержка и развитие дошкольного образования в Челябинской области»</w:t>
            </w:r>
          </w:p>
        </w:tc>
      </w:tr>
    </w:tbl>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Показатели муниципальной программы</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5000" w:type="pct"/>
        <w:jc w:val="left"/>
        <w:tblInd w:w="-459" w:type="dxa"/>
        <w:tblLayout w:type="fixed"/>
        <w:tblCellMar>
          <w:top w:w="0" w:type="dxa"/>
          <w:left w:w="108" w:type="dxa"/>
          <w:bottom w:w="0" w:type="dxa"/>
          <w:right w:w="108" w:type="dxa"/>
        </w:tblCellMar>
        <w:tblLook w:val="0000" w:noHBand="0" w:noVBand="0" w:firstColumn="0" w:lastRow="0" w:lastColumn="0" w:firstRow="0"/>
      </w:tblPr>
      <w:tblGrid>
        <w:gridCol w:w="776"/>
        <w:gridCol w:w="3949"/>
        <w:gridCol w:w="1327"/>
        <w:gridCol w:w="909"/>
        <w:gridCol w:w="937"/>
        <w:gridCol w:w="1071"/>
        <w:gridCol w:w="936"/>
        <w:gridCol w:w="941"/>
        <w:gridCol w:w="944"/>
        <w:gridCol w:w="944"/>
        <w:gridCol w:w="1976"/>
      </w:tblGrid>
      <w:tr>
        <w:trPr>
          <w:trHeight w:val="305" w:hRule="atLeast"/>
        </w:trPr>
        <w:tc>
          <w:tcPr>
            <w:tcW w:w="7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eastAsia="ru-RU"/>
              </w:rPr>
              <w:br/>
              <w:t>п</w:t>
            </w:r>
            <w:r>
              <w:rPr>
                <w:rFonts w:eastAsia="Times New Roman" w:cs="Times New Roman" w:ascii="Times New Roman" w:hAnsi="Times New Roman"/>
                <w:sz w:val="24"/>
                <w:szCs w:val="24"/>
                <w:lang w:val="en-US" w:eastAsia="ru-RU"/>
              </w:rPr>
              <w:t>/</w:t>
            </w:r>
            <w:r>
              <w:rPr>
                <w:rFonts w:eastAsia="Times New Roman" w:cs="Times New Roman" w:ascii="Times New Roman" w:hAnsi="Times New Roman"/>
                <w:sz w:val="24"/>
                <w:szCs w:val="24"/>
                <w:lang w:eastAsia="ru-RU"/>
              </w:rPr>
              <w:t>п</w:t>
            </w:r>
          </w:p>
        </w:tc>
        <w:tc>
          <w:tcPr>
            <w:tcW w:w="3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показателя</w:t>
            </w:r>
          </w:p>
        </w:tc>
        <w:tc>
          <w:tcPr>
            <w:tcW w:w="13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Единица измерения</w:t>
            </w:r>
          </w:p>
        </w:tc>
        <w:tc>
          <w:tcPr>
            <w:tcW w:w="9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2024 год</w:t>
            </w:r>
          </w:p>
        </w:tc>
        <w:tc>
          <w:tcPr>
            <w:tcW w:w="5773"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Значение показателя по годам</w:t>
            </w:r>
          </w:p>
        </w:tc>
        <w:tc>
          <w:tcPr>
            <w:tcW w:w="19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Ответственный за достижение показателя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812" w:hRule="atLeast"/>
        </w:trPr>
        <w:tc>
          <w:tcPr>
            <w:tcW w:w="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10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2026</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2027</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9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2028</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2029</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2030</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w:t>
            </w:r>
          </w:p>
        </w:tc>
        <w:tc>
          <w:tcPr>
            <w:tcW w:w="197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5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9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3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r>
      <w:tr>
        <w:trPr>
          <w:trHeight w:val="258"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 Цель муниципальной программы - </w:t>
            </w:r>
            <w:r>
              <w:rPr>
                <w:rFonts w:eastAsia="Calibri" w:cs="Times New Roman" w:ascii="Times New Roman" w:hAnsi="Times New Roman"/>
                <w:kern w:val="2"/>
                <w:sz w:val="24"/>
                <w:szCs w:val="24"/>
                <w14:ligatures w14:val="standardContextual"/>
              </w:rPr>
              <w:t xml:space="preserve">предоставление равных возможностей для получения гражданами качественного образования всех видов и уровней  </w:t>
            </w:r>
          </w:p>
        </w:tc>
      </w:tr>
      <w:tr>
        <w:trPr>
          <w:trHeight w:val="258"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numPr>
                <w:ilvl w:val="1"/>
                <w:numId w:val="3"/>
              </w:numPr>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«Обеспечение условий для сохранения доступного дошкольного образования для детей всех возрастных категорий»</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Охват детей от 1 года до 7 лет дошкольным образованием</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87,6</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87,7</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87,9</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1.1.2</w:t>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highlight w:val="yellow"/>
                <w14:ligatures w14:val="standardContextual"/>
              </w:rPr>
            </w:pPr>
            <w:r>
              <w:rPr>
                <w:rFonts w:eastAsia="Calibri" w:cs="Times New Roman" w:ascii="Times New Roman" w:hAnsi="Times New Roman"/>
                <w:kern w:val="2"/>
                <w:sz w:val="24"/>
                <w:szCs w:val="24"/>
                <w14:ligatures w14:val="standardContextual"/>
              </w:rPr>
              <w:t xml:space="preserve">Количество мест, открытых за счет приобретения и строительства новых зданий и помещений для реализации образовательных программ дошкольного образования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единиц</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470   </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управление образования администрации</w:t>
            </w:r>
          </w:p>
        </w:tc>
      </w:tr>
      <w:tr>
        <w:trPr>
          <w:trHeight w:val="557"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Задача «Обеспечение доступности качественного дошкольного образования населению городского округа»</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Доступность дошкольного образования для детей от 1 до 8 лет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1.2.2</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Количество детей из малообеспеченных, неблагополучных семей, оказавшихся в трудной жизненной ситуации, получающих дошкольное образование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человек</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2040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1.2.3</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Доля образовательных организаций, в которых созданы условия для получения детьми с ограниченными возможностями здоровья (далее – ОВЗ) качественного образования, в общем количестве образовательных организаций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1.2.4</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Доля капитально отремонтированных зданий и сооружений муниципальных дошкольных образовательных организаций в общем количестве зданий и сооружений муниципальных дошкольных образовательных организаций, требующих проведение капитальных ремонтов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26,7</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35,2</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35,2</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36,2</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36,2</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36,2</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36,2</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1.2.5</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Количество зданий муниципальных организаций дошкольного образования, для капитального ремонта которых разработана проектно-сметная документация и получено положительное заключение государственной экспертизы </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единиц</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1.2.6</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Выполнение работ по сбору исходных данных, проведению инженерных изысканий и корректировке типового проекта по объекту: «Детский сад на 75 мест по ул. Шоссейная ,64 Б, в г. Копейске Челябинской области, в том числе проектно-изыскательские работы»</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да-1</w:t>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нет-0</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w:t>
            </w:r>
            <w:r>
              <w:rPr>
                <w:rFonts w:cs="Times New Roman" w:ascii="Times New Roman" w:hAnsi="Times New Roman"/>
                <w:sz w:val="24"/>
                <w:szCs w:val="24"/>
              </w:rPr>
              <w:t>1</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МУ Копейского городского округа «Управление строительства»</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Выполнение работ по сбору исходных данных, проведению инженерных изысканий и корректировке типового проекта по объекту: «Детский сад на 120 мест по проспекту Победы,50 Г, в г. Копейске Челябинской области, в том числе проектно-изыскательские работы»</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да-1</w:t>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нет-0</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w:t>
            </w:r>
            <w:r>
              <w:rPr>
                <w:rFonts w:cs="Times New Roman" w:ascii="Times New Roman" w:hAnsi="Times New Roman"/>
                <w:sz w:val="24"/>
                <w:szCs w:val="24"/>
              </w:rPr>
              <w:t>1</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МУ Копейского городского округа «Управление строительства»</w:t>
            </w:r>
          </w:p>
        </w:tc>
      </w:tr>
      <w:tr>
        <w:trPr>
          <w:trHeight w:val="872"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Задача «Модернизация и качественное улучшение содержания, форм и методов организации дошкольного образования в муниципальных образовательных учреждениях, реализующих образовательные программы дошкольного образования,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Удельный вес численности воспитанников дошкольных образовательных организаций     (далее – ДОО) в возрасте 3-7 лет, охваченных образовательными программами дошкольного образования, соответствующими требованиям ф</w:t>
            </w:r>
            <w:r>
              <w:rPr>
                <w:rFonts w:eastAsia="Calibri" w:cs="Times New Roman" w:ascii="Times New Roman" w:hAnsi="Times New Roman"/>
                <w:bCs/>
                <w:kern w:val="2"/>
                <w:sz w:val="24"/>
                <w:szCs w:val="24"/>
                <w14:ligatures w14:val="standardContextual"/>
              </w:rPr>
              <w:t>едерального государственного образовательного стандарта дошкольного образования (далее – ФГОС ДО)</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1.3.2</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 xml:space="preserve">Доступность дошкольного образования для детей с ОВЗ и детей-инвалидов </w:t>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378"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Задача «Развитие кадрового потенциала системы дошкольного образования городского округа»</w:t>
            </w:r>
          </w:p>
        </w:tc>
      </w:tr>
      <w:tr>
        <w:trPr>
          <w:trHeight w:val="84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Доля педагогических и руководящих работников муниципальных дошкольных образовательных учреждений, прошедших повышение квалификации или профессиональную переподготовку в течение последних трех лет</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r>
        <w:trPr>
          <w:trHeight w:val="258" w:hRule="atLeast"/>
        </w:trPr>
        <w:tc>
          <w:tcPr>
            <w:tcW w:w="14710" w:type="dxa"/>
            <w:gridSpan w:val="11"/>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1.5.  Задача «Реализация финансово-экономического механизма обеспечения устойчивого финансирования муниципальных дошкольных образовательных учреждений городского округа»       </w:t>
            </w:r>
          </w:p>
        </w:tc>
      </w:tr>
      <w:tr>
        <w:trPr>
          <w:trHeight w:val="258" w:hRule="atLeast"/>
        </w:trPr>
        <w:tc>
          <w:tcPr>
            <w:tcW w:w="7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1.5.1</w:t>
            </w:r>
          </w:p>
        </w:tc>
        <w:tc>
          <w:tcPr>
            <w:tcW w:w="39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Эффективность использования бюджетных средств в рамках исполнения муниципальных заданий ДОО</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93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9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9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19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w:t>
            </w:r>
          </w:p>
        </w:tc>
      </w:tr>
    </w:tbl>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 План достижения показателей муниципальной программы </w:t>
      </w:r>
    </w:p>
    <w:tbl>
      <w:tblPr>
        <w:tblW w:w="5000" w:type="pct"/>
        <w:jc w:val="left"/>
        <w:tblInd w:w="-561" w:type="dxa"/>
        <w:tblLayout w:type="fixed"/>
        <w:tblCellMar>
          <w:top w:w="0" w:type="dxa"/>
          <w:left w:w="6" w:type="dxa"/>
          <w:bottom w:w="0" w:type="dxa"/>
          <w:right w:w="6" w:type="dxa"/>
        </w:tblCellMar>
        <w:tblLook w:val="0000" w:noHBand="0" w:noVBand="0" w:firstColumn="0" w:lastRow="0" w:lastColumn="0" w:firstRow="0"/>
      </w:tblPr>
      <w:tblGrid>
        <w:gridCol w:w="797"/>
        <w:gridCol w:w="5814"/>
        <w:gridCol w:w="1189"/>
        <w:gridCol w:w="656"/>
        <w:gridCol w:w="444"/>
        <w:gridCol w:w="515"/>
        <w:gridCol w:w="527"/>
        <w:gridCol w:w="526"/>
        <w:gridCol w:w="530"/>
        <w:gridCol w:w="533"/>
        <w:gridCol w:w="532"/>
        <w:gridCol w:w="530"/>
        <w:gridCol w:w="532"/>
        <w:gridCol w:w="527"/>
        <w:gridCol w:w="1060"/>
      </w:tblGrid>
      <w:tr>
        <w:trPr>
          <w:tblHeader w:val="true"/>
          <w:trHeight w:val="300" w:hRule="atLeast"/>
        </w:trPr>
        <w:tc>
          <w:tcPr>
            <w:tcW w:w="7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п/п</w:t>
            </w:r>
          </w:p>
        </w:tc>
        <w:tc>
          <w:tcPr>
            <w:tcW w:w="58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Показатели муниципальной программы</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Единица измерения</w:t>
            </w:r>
          </w:p>
        </w:tc>
        <w:tc>
          <w:tcPr>
            <w:tcW w:w="5852" w:type="dxa"/>
            <w:gridSpan w:val="11"/>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Плановые значения по </w:t>
            </w:r>
          </w:p>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кварталам / месяцам</w:t>
            </w:r>
          </w:p>
        </w:tc>
        <w:tc>
          <w:tcPr>
            <w:tcW w:w="10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конец</w:t>
            </w:r>
          </w:p>
          <w:p>
            <w:pPr>
              <w:pStyle w:val="Normal"/>
              <w:spacing w:lineRule="atLeast" w:line="240" w:before="0" w:after="0"/>
              <w:jc w:val="center"/>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lang w:eastAsia="ru-RU"/>
              </w:rPr>
              <w:t>отчетного периода</w:t>
            </w:r>
          </w:p>
        </w:tc>
      </w:tr>
      <w:tr>
        <w:trPr>
          <w:tblHeader w:val="true"/>
          <w:trHeight w:val="177" w:hRule="atLeast"/>
        </w:trPr>
        <w:tc>
          <w:tcPr>
            <w:tcW w:w="7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444"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10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r>
      <w:tr>
        <w:trPr>
          <w:tblHeader w:val="true"/>
          <w:trHeight w:val="164" w:hRule="atLeast"/>
        </w:trPr>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814"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444"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60" w:after="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w:t>
            </w:r>
          </w:p>
        </w:tc>
      </w:tr>
      <w:tr>
        <w:trPr>
          <w:trHeight w:val="102" w:hRule="atLeast"/>
        </w:trPr>
        <w:tc>
          <w:tcPr>
            <w:tcW w:w="14712" w:type="dxa"/>
            <w:gridSpan w:val="15"/>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 год</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13915" w:type="dxa"/>
            <w:gridSpan w:val="14"/>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Показатели проектной части муниципальной программы</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13915" w:type="dxa"/>
            <w:gridSpan w:val="14"/>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contextualSpacing/>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Проект «Содействие занятости»</w:t>
            </w:r>
          </w:p>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Охват детей от 1 года до 7 лет дошкольным образованием</w:t>
            </w:r>
          </w:p>
          <w:p>
            <w:pPr>
              <w:pStyle w:val="Normal"/>
              <w:spacing w:lineRule="auto" w:line="240" w:before="0" w:after="0"/>
              <w:ind w:left="134"/>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87,7</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87,7</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87,7</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87,7</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1.1.2</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 xml:space="preserve">Количество мест, открытых за счет приобретения и строительства новых зданий и помещений для реализации образовательных программ дошкольного образования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единиц</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470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3915" w:type="dxa"/>
            <w:gridSpan w:val="14"/>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Показатели процессной части муниципальной программы</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           </w:t>
            </w:r>
          </w:p>
        </w:tc>
        <w:tc>
          <w:tcPr>
            <w:tcW w:w="13915" w:type="dxa"/>
            <w:gridSpan w:val="14"/>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Комплекс процессных мероприятий «Обеспечение доступного качественного дошкольного образования»</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2.1.1</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Доступность дошкольного образования для детей от 1 до 8 лет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100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2.1.2</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Количество детей из малообеспеченных, неблагополучных семей, оказавшихся в трудной жизненной ситуации, получающих дошкольное образование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2.1.3</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Доля образовательных организаций, в которых созданы условия для получения детьми ОВЗ качественного образования, в общем количестве образовательных организаций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Доля капитально отремонтированных зданий и сооружений муниципальных дошкольных образовательных организаций в общем количестве зданий и сооружений муниципальных дошкольных образовательных организаций, требующих проведение капитальных ремонтов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35,2</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Количество зданий муниципальных организаций дошкольного образования, для капитального ремонта которых разработана проектно-сметная документация и получено положительное заключение государственной экспертизы </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единиц</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2.1.6</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Удельный вес численности воспитанников ДОО в возрасте 3-7 лет, охваченных образовательными программами дошкольного образования, соответствующими требованиям ФГОС ДО</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2.1.7</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Доступность дошкольного образования для детей с ОВЗ и детей-инвалидов</w:t>
            </w:r>
          </w:p>
          <w:p>
            <w:pPr>
              <w:pStyle w:val="Normal"/>
              <w:spacing w:lineRule="auto" w:line="240" w:before="0" w:after="0"/>
              <w:ind w:left="1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90</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2.1.8</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Доля педагогических и руководящих работников муниципальных дошкольных образовательных учреждений, прошедших повышение квалификации или профессиональную переподготовку в течение последних трех лет</w:t>
            </w:r>
          </w:p>
          <w:p>
            <w:pPr>
              <w:pStyle w:val="Normal"/>
              <w:spacing w:lineRule="auto" w:line="240" w:before="0" w:after="0"/>
              <w:ind w:left="1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2.1.9</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Эффективность использования бюджетных средств в рамках исполнения муниципальных заданий ДОО</w:t>
            </w:r>
          </w:p>
          <w:p>
            <w:pPr>
              <w:pStyle w:val="Normal"/>
              <w:spacing w:lineRule="auto" w:line="240" w:before="0" w:after="0"/>
              <w:ind w:left="1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r>
      <w:tr>
        <w:trPr>
          <w:trHeight w:val="102" w:hRule="atLeast"/>
        </w:trPr>
        <w:tc>
          <w:tcPr>
            <w:tcW w:w="14712" w:type="dxa"/>
            <w:gridSpan w:val="15"/>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2026 год</w:t>
            </w:r>
          </w:p>
        </w:tc>
      </w:tr>
      <w:tr>
        <w:trPr>
          <w:trHeight w:val="102" w:hRule="atLeast"/>
        </w:trPr>
        <w:tc>
          <w:tcPr>
            <w:tcW w:w="14712" w:type="dxa"/>
            <w:gridSpan w:val="15"/>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Комплекс процессных мероприятий «Обеспечение доступного качественного дошкольного образования»</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2.1.1</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Доступность дошкольного образования для детей от 1 до 8 лет </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w:t>
            </w:r>
            <w:r>
              <w:rPr>
                <w:rFonts w:cs="Times New Roman" w:ascii="Times New Roman" w:hAnsi="Times New Roman"/>
                <w:sz w:val="24"/>
                <w:szCs w:val="24"/>
              </w:rPr>
              <w:t>100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2.1.2</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Количество детей из малообеспеченных, неблагополучных семей, оказавшихся в трудной жизненной ситуации, получающих дошкольное образование   </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240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240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240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240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2.1.3</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Доля образовательных организаций, в которых созданы условия для получения детьми ОВЗ качественного образования, в общем количестве образовательных организаций  </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80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2.1.4</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Доля капитально отремонтированных зданий и сооружений муниципальных дошкольных образовательных организаций в общем количестве зданий и сооружений муниципальных дошкольных образовательных организаций, требующих проведение капитальных ремонтов </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35,2</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2.1.5</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Количество зданий муниципальных организаций дошкольного образования, для капитального ремонта которых разработана проектно-сметная документация и получено положительное заключение государственной экспертизы </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единиц</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2.1.6</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cs="Times New Roman"/>
                <w:sz w:val="24"/>
                <w:szCs w:val="24"/>
              </w:rPr>
            </w:pPr>
            <w:r>
              <w:rPr>
                <w:rFonts w:eastAsia="Calibri" w:cs="Times New Roman" w:ascii="Times New Roman" w:hAnsi="Times New Roman"/>
                <w:kern w:val="2"/>
                <w:sz w:val="24"/>
                <w:szCs w:val="24"/>
                <w14:ligatures w14:val="standardContextual"/>
              </w:rPr>
              <w:t>Выполнение работ по сбору исходных данных, проведению инженерных изысканий и корректировке типового проекта по объекту: «Детский сад на 75 мест по ул. Шоссейная ,64 Б, в г. Копейске Челябинской области, в том числе проектно-изыскательские работы»</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да-1</w:t>
            </w:r>
          </w:p>
          <w:p>
            <w:pPr>
              <w:pStyle w:val="Normal"/>
              <w:spacing w:lineRule="atLeast" w:line="240" w:before="0" w:after="0"/>
              <w:jc w:val="center"/>
              <w:rPr>
                <w:rFonts w:ascii="Times New Roman" w:hAnsi="Times New Roman" w:cs="Times New Roman"/>
                <w:sz w:val="24"/>
                <w:szCs w:val="24"/>
              </w:rPr>
            </w:pPr>
            <w:r>
              <w:rPr>
                <w:rFonts w:eastAsia="Calibri" w:cs="Times New Roman" w:ascii="Times New Roman" w:hAnsi="Times New Roman"/>
                <w:kern w:val="2"/>
                <w:sz w:val="24"/>
                <w:szCs w:val="24"/>
                <w14:ligatures w14:val="standardContextual"/>
              </w:rPr>
              <w:t>нет-0</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2.1.7</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cs="Times New Roman"/>
                <w:sz w:val="24"/>
                <w:szCs w:val="24"/>
              </w:rPr>
            </w:pPr>
            <w:r>
              <w:rPr>
                <w:rFonts w:eastAsia="Calibri" w:cs="Times New Roman" w:ascii="Times New Roman" w:hAnsi="Times New Roman"/>
                <w:kern w:val="2"/>
                <w:sz w:val="24"/>
                <w:szCs w:val="24"/>
                <w14:ligatures w14:val="standardContextual"/>
              </w:rPr>
              <w:t>Выполнение работ по сбору исходных данных, проведению инженерных изысканий и корректировке типового проекта по объекту: «Детский сад на 120 мест по проспекту Победы,50 Г, в г. Копейске Челябинской области, в том числе проектно-изыскательские работы»</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Calibri" w:cs="Times New Roman"/>
                <w:kern w:val="2"/>
                <w:sz w:val="24"/>
                <w:szCs w:val="24"/>
                <w14:ligatures w14:val="standardContextual"/>
              </w:rPr>
            </w:pPr>
            <w:r>
              <w:rPr>
                <w:rFonts w:eastAsia="Calibri" w:cs="Times New Roman" w:ascii="Times New Roman" w:hAnsi="Times New Roman"/>
                <w:kern w:val="2"/>
                <w:sz w:val="24"/>
                <w:szCs w:val="24"/>
                <w14:ligatures w14:val="standardContextual"/>
              </w:rPr>
              <w:t>да-1</w:t>
            </w:r>
          </w:p>
          <w:p>
            <w:pPr>
              <w:pStyle w:val="Normal"/>
              <w:spacing w:lineRule="atLeast" w:line="240" w:before="0" w:after="0"/>
              <w:jc w:val="center"/>
              <w:rPr>
                <w:rFonts w:ascii="Times New Roman" w:hAnsi="Times New Roman" w:cs="Times New Roman"/>
                <w:sz w:val="24"/>
                <w:szCs w:val="24"/>
              </w:rPr>
            </w:pPr>
            <w:r>
              <w:rPr>
                <w:rFonts w:eastAsia="Calibri" w:cs="Times New Roman" w:ascii="Times New Roman" w:hAnsi="Times New Roman"/>
                <w:kern w:val="2"/>
                <w:sz w:val="24"/>
                <w:szCs w:val="24"/>
                <w14:ligatures w14:val="standardContextual"/>
              </w:rPr>
              <w:t>нет-0</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2.1.8</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Удельный вес численности воспитанников ДОО в возрасте 3-7 лет, охваченных образовательными программами дошкольного образования, соответствующими требованиям ФГОС ДО</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2.1.9</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Доступность дошкольного образования для детей с ОВЗ и детей-инвалидов</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90</w:t>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w:t>
            </w:r>
            <w:r>
              <w:rPr>
                <w:rFonts w:cs="Times New Roman" w:ascii="Times New Roman" w:hAnsi="Times New Roman"/>
                <w:sz w:val="24"/>
                <w:szCs w:val="24"/>
              </w:rPr>
              <w:t>90</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90</w:t>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90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2.1.10</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Доля педагогических и руководящих работников муниципальных дошкольных образовательных учреждений, прошедших повышение квалификации или профессиональную переподготовку в течение последних трех лет</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r>
      <w:tr>
        <w:trPr>
          <w:trHeight w:val="102" w:hRule="atLeast"/>
        </w:trPr>
        <w:tc>
          <w:tcPr>
            <w:tcW w:w="79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2.1.11</w:t>
            </w:r>
          </w:p>
        </w:tc>
        <w:tc>
          <w:tcPr>
            <w:tcW w:w="58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4"/>
              <w:rPr>
                <w:rFonts w:ascii="Times New Roman" w:hAnsi="Times New Roman" w:eastAsia="Times New Roman" w:cs="Times New Roman"/>
                <w:sz w:val="24"/>
                <w:szCs w:val="24"/>
                <w:lang w:eastAsia="ru-RU"/>
              </w:rPr>
            </w:pPr>
            <w:r>
              <w:rPr>
                <w:rFonts w:cs="Times New Roman" w:ascii="Times New Roman" w:hAnsi="Times New Roman"/>
                <w:sz w:val="24"/>
                <w:szCs w:val="24"/>
              </w:rPr>
              <w:t>Эффективность использования бюджетных средств в рамках исполнения муниципальных заданий ДОО</w:t>
            </w:r>
          </w:p>
        </w:tc>
        <w:tc>
          <w:tcPr>
            <w:tcW w:w="118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процент</w:t>
            </w:r>
          </w:p>
        </w:tc>
        <w:tc>
          <w:tcPr>
            <w:tcW w:w="6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w:t>
            </w:r>
          </w:p>
        </w:tc>
        <w:tc>
          <w:tcPr>
            <w:tcW w:w="533"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32"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100</w:t>
            </w:r>
          </w:p>
        </w:tc>
      </w:tr>
    </w:tbl>
    <w:p>
      <w:pPr>
        <w:pStyle w:val="Normal"/>
        <w:spacing w:before="0" w:after="200"/>
        <w:jc w:val="center"/>
        <w:rPr>
          <w:rFonts w:ascii="Times New Roman" w:hAnsi="Times New Roman" w:eastAsia="Times New Roman" w:cs="Times New Roman"/>
          <w:sz w:val="24"/>
          <w:szCs w:val="24"/>
          <w:lang w:eastAsia="ru-RU"/>
        </w:rPr>
      </w:pPr>
      <w:r>
        <w:br w:type="page"/>
      </w:r>
      <w:r>
        <w:rPr>
          <w:rFonts w:eastAsia="Times New Roman" w:cs="Times New Roman" w:ascii="Times New Roman" w:hAnsi="Times New Roman"/>
          <w:sz w:val="24"/>
          <w:szCs w:val="24"/>
          <w:lang w:eastAsia="ru-RU"/>
        </w:rPr>
        <w:t>4. Структура муниципальной программы</w:t>
      </w:r>
    </w:p>
    <w:tbl>
      <w:tblPr>
        <w:tblW w:w="15513" w:type="dxa"/>
        <w:jc w:val="left"/>
        <w:tblInd w:w="-459" w:type="dxa"/>
        <w:tblLayout w:type="fixed"/>
        <w:tblCellMar>
          <w:top w:w="0" w:type="dxa"/>
          <w:left w:w="108" w:type="dxa"/>
          <w:bottom w:w="0" w:type="dxa"/>
          <w:right w:w="108" w:type="dxa"/>
        </w:tblCellMar>
        <w:tblLook w:val="01e0" w:noHBand="0" w:noVBand="0" w:firstColumn="1" w:lastRow="1" w:lastColumn="1" w:firstRow="1"/>
      </w:tblPr>
      <w:tblGrid>
        <w:gridCol w:w="851"/>
        <w:gridCol w:w="6837"/>
        <w:gridCol w:w="4815"/>
        <w:gridCol w:w="3009"/>
      </w:tblGrid>
      <w:tr>
        <w:trPr>
          <w:trHeight w:val="49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п/п</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 структурного элемента</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Краткое описание ожидаемых эффектов от реализации задачи структурного элемента</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Связь</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показателями</w:t>
            </w:r>
          </w:p>
          <w:p>
            <w:pPr>
              <w:pStyle w:val="Normal"/>
              <w:spacing w:lineRule="auto" w:line="240"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tc>
      </w:tr>
      <w:tr>
        <w:trPr>
          <w:trHeight w:val="27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r>
      <w:tr>
        <w:trPr>
          <w:trHeight w:val="343" w:hRule="atLeast"/>
        </w:trPr>
        <w:tc>
          <w:tcPr>
            <w:tcW w:w="15512" w:type="dxa"/>
            <w:gridSpan w:val="4"/>
            <w:tcBorders>
              <w:top w:val="single" w:sz="4" w:space="0" w:color="000000"/>
              <w:left w:val="single" w:sz="4" w:space="0" w:color="000000"/>
              <w:bottom w:val="single" w:sz="4" w:space="0" w:color="000000"/>
              <w:right w:val="single" w:sz="4" w:space="0" w:color="000000"/>
            </w:tcBorders>
            <w:vAlign w:val="center"/>
          </w:tcPr>
          <w:p>
            <w:pPr>
              <w:pStyle w:val="Normal"/>
              <w:numPr>
                <w:ilvl w:val="1"/>
                <w:numId w:val="1"/>
              </w:numPr>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Проект «Содействие занятости»</w:t>
            </w:r>
          </w:p>
          <w:p>
            <w:pPr>
              <w:pStyle w:val="Normal"/>
              <w:spacing w:lineRule="auto" w:line="240" w:before="0" w:after="0"/>
              <w:ind w:left="360"/>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(куратор – Ангеловский А.А., заместитель Главы городского округа по социальному развитию)</w:t>
            </w:r>
          </w:p>
        </w:tc>
      </w:tr>
      <w:tr>
        <w:trPr>
          <w:trHeight w:val="343" w:hRule="atLeast"/>
        </w:trPr>
        <w:tc>
          <w:tcPr>
            <w:tcW w:w="768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Ответственный за реализацию – управление образования администрации (М.Н. Хлынина)</w:t>
            </w:r>
          </w:p>
        </w:tc>
        <w:tc>
          <w:tcPr>
            <w:tcW w:w="782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 реализации – 01.01.2025-31.12.2030</w:t>
            </w:r>
          </w:p>
        </w:tc>
      </w:tr>
      <w:tr>
        <w:trPr>
          <w:trHeight w:val="188"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условий для сохранения доступного дошкольного образования для детей всех возрастных категорий</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Ввод в эксплуатацию новых зданий дошкольных образовательных организаций</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Показатель 1.1.1,1.1.2</w:t>
            </w:r>
          </w:p>
        </w:tc>
      </w:tr>
      <w:tr>
        <w:trPr>
          <w:trHeight w:val="171" w:hRule="atLeast"/>
        </w:trPr>
        <w:tc>
          <w:tcPr>
            <w:tcW w:w="15512"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Calibri" w:cs="Times New Roman"/>
                <w:kern w:val="2"/>
                <w:sz w:val="28"/>
                <w:lang w:eastAsia="ru-RU"/>
                <w14:ligatures w14:val="standardContextual"/>
              </w:rPr>
            </w:pPr>
            <w:r>
              <w:rPr>
                <w:rFonts w:eastAsia="Times New Roman" w:cs="Times New Roman" w:ascii="Times New Roman" w:hAnsi="Times New Roman"/>
                <w:sz w:val="24"/>
                <w:szCs w:val="24"/>
                <w:lang w:eastAsia="ru-RU"/>
              </w:rPr>
              <w:t xml:space="preserve">1.2. Комплекс процессных мероприятий «Обеспечение доступного качественного дошкольного образования» </w:t>
            </w:r>
          </w:p>
        </w:tc>
      </w:tr>
      <w:tr>
        <w:trPr>
          <w:trHeight w:val="171" w:hRule="atLeast"/>
        </w:trPr>
        <w:tc>
          <w:tcPr>
            <w:tcW w:w="768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Ответственный за реализацию – управление образования администрации (М.Н. Хлынина)</w:t>
            </w:r>
          </w:p>
        </w:tc>
        <w:tc>
          <w:tcPr>
            <w:tcW w:w="782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 реализации – 01.01.2025-31.12.2030</w:t>
            </w:r>
          </w:p>
        </w:tc>
      </w:tr>
      <w:tr>
        <w:trPr>
          <w:trHeight w:val="17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1.2.1</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1. Обеспечение доступности качественного дошкольного образования населению городского округа</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lang w:eastAsia="ru-RU"/>
              </w:rPr>
              <w:t xml:space="preserve">Обеспечение проведения капремонтов в дошкольных образовательных организациях, обеспечение выполнения работ по проведению инженерных изысканий и корректировке проектов, осуществление материальной поддержки родителям (законным представителям) </w:t>
            </w:r>
            <w:r>
              <w:rPr>
                <w:rFonts w:eastAsia="Times New Roman" w:cs="Times New Roman" w:ascii="Times New Roman" w:hAnsi="Times New Roman"/>
                <w:sz w:val="24"/>
                <w:szCs w:val="24"/>
                <w:highlight w:val="yellow"/>
                <w:lang w:eastAsia="ru-RU"/>
              </w:rPr>
              <w:t xml:space="preserve">  </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Показатель 1.2.1,1.2.2,1.2.3,1.2.4,1.2.5, 1.2.6,1.2.7</w:t>
            </w:r>
          </w:p>
        </w:tc>
      </w:tr>
      <w:tr>
        <w:trPr>
          <w:trHeight w:val="17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1.2.2</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2. Модернизация и качественное улучшение содержания, форм и методов организации дошкольного образования в муниципальных образовательных учреждениях, реализующих образовательные программы дошкольного образования,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Улучшение материально-технической базы дошкольных образовательных организаций </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Показатель 1.3.1,1.3.2</w:t>
            </w:r>
          </w:p>
        </w:tc>
      </w:tr>
      <w:tr>
        <w:trPr>
          <w:trHeight w:val="17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1.2.3</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Задача 3. Развитие кадрового потенциала системы дошкольного образования городского округа  </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Своевременное повышение квалификации и переподготовки педагогических работников</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Показатель 1.4.1</w:t>
            </w:r>
          </w:p>
        </w:tc>
      </w:tr>
      <w:tr>
        <w:trPr>
          <w:trHeight w:val="171"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1.2.4</w:t>
            </w:r>
          </w:p>
        </w:tc>
        <w:tc>
          <w:tcPr>
            <w:tcW w:w="68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Задача 4. Реализация финансово-экономического механизма обеспечения устойчивого финансирования муниципальных дошкольных образовательных учреждений городского округа</w:t>
            </w:r>
          </w:p>
        </w:tc>
        <w:tc>
          <w:tcPr>
            <w:tcW w:w="48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29.12.2012 № 273-ФЗ «Об образовании в Российской Федерации»</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Показатель 1.5.1</w:t>
            </w:r>
          </w:p>
        </w:tc>
      </w:tr>
    </w:tbl>
    <w:p>
      <w:pPr>
        <w:pStyle w:val="Normal"/>
        <w:tabs>
          <w:tab w:val="clear" w:pos="708"/>
          <w:tab w:val="left" w:pos="3840" w:leader="none"/>
          <w:tab w:val="left" w:pos="3969" w:leader="none"/>
          <w:tab w:val="center" w:pos="4819" w:leader="none"/>
          <w:tab w:val="center" w:pos="7355" w:leader="none"/>
          <w:tab w:val="left" w:pos="11085"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3840" w:leader="none"/>
          <w:tab w:val="left" w:pos="3969" w:leader="none"/>
          <w:tab w:val="center" w:pos="4819" w:leader="none"/>
          <w:tab w:val="center" w:pos="7355" w:leader="none"/>
          <w:tab w:val="left" w:pos="11085"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5. Финансовое обеспечение муниципальной программы</w:t>
      </w:r>
    </w:p>
    <w:p>
      <w:pPr>
        <w:pStyle w:val="Normal"/>
        <w:tabs>
          <w:tab w:val="clear" w:pos="708"/>
          <w:tab w:val="left" w:pos="3840" w:leader="none"/>
          <w:tab w:val="left" w:pos="3969" w:leader="none"/>
          <w:tab w:val="center" w:pos="4819" w:leader="none"/>
          <w:tab w:val="center" w:pos="7355" w:leader="none"/>
          <w:tab w:val="left" w:pos="11085"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5000" w:type="pct"/>
        <w:jc w:val="left"/>
        <w:tblInd w:w="-459" w:type="dxa"/>
        <w:tblLayout w:type="fixed"/>
        <w:tblCellMar>
          <w:top w:w="0" w:type="dxa"/>
          <w:left w:w="108" w:type="dxa"/>
          <w:bottom w:w="0" w:type="dxa"/>
          <w:right w:w="108" w:type="dxa"/>
        </w:tblCellMar>
        <w:tblLook w:val="0000" w:noHBand="0" w:noVBand="0" w:firstColumn="0" w:lastRow="0" w:lastColumn="0" w:firstRow="0"/>
      </w:tblPr>
      <w:tblGrid>
        <w:gridCol w:w="4931"/>
        <w:gridCol w:w="2015"/>
        <w:gridCol w:w="1280"/>
        <w:gridCol w:w="1280"/>
        <w:gridCol w:w="1280"/>
        <w:gridCol w:w="1279"/>
        <w:gridCol w:w="657"/>
        <w:gridCol w:w="662"/>
        <w:gridCol w:w="1326"/>
      </w:tblGrid>
      <w:tr>
        <w:trPr>
          <w:trHeight w:val="193" w:hRule="atLeast"/>
        </w:trPr>
        <w:tc>
          <w:tcPr>
            <w:tcW w:w="4931"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Источник финансового обеспечения</w:t>
            </w:r>
          </w:p>
        </w:tc>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Ответственный исполнитель / соисполнитель  </w:t>
            </w:r>
          </w:p>
        </w:tc>
        <w:tc>
          <w:tcPr>
            <w:tcW w:w="7764"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Объем финансового обеспечения по годам реализации, тыс. рублей</w:t>
            </w:r>
          </w:p>
        </w:tc>
      </w:tr>
      <w:tr>
        <w:trPr>
          <w:trHeight w:val="193" w:hRule="atLeast"/>
        </w:trPr>
        <w:tc>
          <w:tcPr>
            <w:tcW w:w="4931"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 год</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2026 год</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2027 год</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2028 год</w:t>
            </w:r>
          </w:p>
        </w:tc>
        <w:tc>
          <w:tcPr>
            <w:tcW w:w="6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2029 год</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2030 год</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Всего:</w:t>
            </w:r>
          </w:p>
        </w:tc>
      </w:tr>
      <w:tr>
        <w:trPr>
          <w:trHeight w:val="189"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201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6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r>
      <w:tr>
        <w:trPr>
          <w:trHeight w:val="335"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Всего, в т.ч.: </w:t>
            </w:r>
          </w:p>
        </w:tc>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w:t>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1446696,00</w:t>
            </w:r>
          </w:p>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highlight w:val="yellow"/>
                <w:lang w:eastAsia="ru-RU"/>
              </w:rPr>
            </w:pPr>
            <w:r>
              <w:rPr>
                <w:rFonts w:cs="Times New Roman" w:ascii="Times New Roman" w:hAnsi="Times New Roman"/>
                <w:sz w:val="24"/>
                <w:szCs w:val="24"/>
              </w:rPr>
              <w:t>1324721,80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1487472,90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1501035,20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5759925,90 </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Федеральный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highlight w:val="yellow"/>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Областной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897588,80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highlight w:val="yellow"/>
                <w:lang w:eastAsia="ru-RU"/>
              </w:rPr>
            </w:pPr>
            <w:r>
              <w:rPr>
                <w:rFonts w:cs="Times New Roman" w:ascii="Times New Roman" w:hAnsi="Times New Roman"/>
                <w:sz w:val="24"/>
                <w:szCs w:val="24"/>
              </w:rPr>
              <w:t>821219,70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824694,50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825247,30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3368750,30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Местный бюджет </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549107,20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highlight w:val="yellow"/>
                <w:lang w:eastAsia="ru-RU"/>
              </w:rPr>
            </w:pPr>
            <w:r>
              <w:rPr>
                <w:rFonts w:cs="Times New Roman" w:ascii="Times New Roman" w:hAnsi="Times New Roman"/>
                <w:sz w:val="24"/>
                <w:szCs w:val="24"/>
              </w:rPr>
              <w:t>503502,10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662778,40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675787,90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2391175,60</w:t>
            </w:r>
          </w:p>
        </w:tc>
      </w:tr>
      <w:tr>
        <w:trPr>
          <w:trHeight w:val="271" w:hRule="atLeast"/>
        </w:trPr>
        <w:tc>
          <w:tcPr>
            <w:tcW w:w="14710" w:type="dxa"/>
            <w:gridSpan w:val="9"/>
            <w:tcBorders>
              <w:top w:val="single" w:sz="4" w:space="0" w:color="000000"/>
              <w:left w:val="single" w:sz="4" w:space="0" w:color="000000"/>
              <w:bottom w:val="single" w:sz="4" w:space="0" w:color="000000"/>
              <w:right w:val="single" w:sz="4" w:space="0" w:color="000000"/>
            </w:tcBorders>
          </w:tcPr>
          <w:p>
            <w:pPr>
              <w:pStyle w:val="Normal"/>
              <w:numPr>
                <w:ilvl w:val="1"/>
                <w:numId w:val="2"/>
              </w:numPr>
              <w:tabs>
                <w:tab w:val="clear" w:pos="708"/>
                <w:tab w:val="left" w:pos="3840" w:leader="none"/>
                <w:tab w:val="left" w:pos="3969" w:leader="none"/>
                <w:tab w:val="center" w:pos="4819" w:leader="none"/>
              </w:tabs>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Проект «Содействие занятости»</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Всего, в т.ч.:</w:t>
            </w:r>
          </w:p>
        </w:tc>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 управление строительства</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87304,40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87304,40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Федеральный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Областной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76644,70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76644,70</w:t>
            </w:r>
          </w:p>
        </w:tc>
      </w:tr>
      <w:tr>
        <w:trPr>
          <w:trHeight w:val="315"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Местный бюджет </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10659,70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10659,70</w:t>
            </w:r>
          </w:p>
        </w:tc>
      </w:tr>
      <w:tr>
        <w:trPr>
          <w:trHeight w:val="193" w:hRule="atLeast"/>
        </w:trPr>
        <w:tc>
          <w:tcPr>
            <w:tcW w:w="14710" w:type="dxa"/>
            <w:gridSpan w:val="9"/>
            <w:tcBorders>
              <w:top w:val="single" w:sz="4" w:space="0" w:color="000000"/>
              <w:left w:val="single" w:sz="4" w:space="0" w:color="000000"/>
              <w:bottom w:val="single" w:sz="4" w:space="0" w:color="000000"/>
              <w:right w:val="single" w:sz="4" w:space="0" w:color="000000"/>
            </w:tcBorders>
          </w:tcPr>
          <w:p>
            <w:pPr>
              <w:pStyle w:val="Normal"/>
              <w:numPr>
                <w:ilvl w:val="1"/>
                <w:numId w:val="2"/>
              </w:numPr>
              <w:tabs>
                <w:tab w:val="clear" w:pos="708"/>
                <w:tab w:val="left" w:pos="3840" w:leader="none"/>
                <w:tab w:val="left" w:pos="3969" w:leader="none"/>
                <w:tab w:val="center" w:pos="4819" w:leader="none"/>
              </w:tabs>
              <w:spacing w:lineRule="auto" w:line="240" w:before="0" w:after="0"/>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Комплекс процессных мероприятий</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Обеспечение доступного качественного дошкольного образования</w:t>
            </w:r>
            <w:r>
              <w:rPr>
                <w:rFonts w:eastAsia="Times New Roman" w:cs="Times New Roman" w:ascii="Times New Roman" w:hAnsi="Times New Roman"/>
                <w:bCs/>
                <w:sz w:val="24"/>
                <w:szCs w:val="24"/>
                <w:lang w:eastAsia="ru-RU"/>
              </w:rPr>
              <w:t>»</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Всего, в т.ч.:</w:t>
            </w:r>
          </w:p>
        </w:tc>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образования администрации, управление строительства</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1359391,60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1324721,80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1487472,90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1501035,20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5672621,50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Федеральный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Областной бюджет</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820944,10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821219,70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824694,50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825247,30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3292105,60</w:t>
            </w:r>
          </w:p>
        </w:tc>
      </w:tr>
      <w:tr>
        <w:trPr>
          <w:trHeight w:val="193" w:hRule="atLeast"/>
        </w:trPr>
        <w:tc>
          <w:tcPr>
            <w:tcW w:w="493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kern w:val="2"/>
                <w:sz w:val="24"/>
                <w:szCs w:val="24"/>
                <w14:ligatures w14:val="standardContextual"/>
              </w:rPr>
              <w:t xml:space="preserve">Местный бюджет </w:t>
            </w:r>
          </w:p>
        </w:tc>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538447,50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503502,10</w:t>
            </w:r>
          </w:p>
        </w:tc>
        <w:tc>
          <w:tcPr>
            <w:tcW w:w="12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662778,40</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675787,90</w:t>
            </w:r>
          </w:p>
        </w:tc>
        <w:tc>
          <w:tcPr>
            <w:tcW w:w="65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0,00</w:t>
            </w:r>
          </w:p>
        </w:tc>
        <w:tc>
          <w:tcPr>
            <w:tcW w:w="132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840" w:leader="none"/>
                <w:tab w:val="left" w:pos="3969" w:leader="none"/>
                <w:tab w:val="center" w:pos="4819" w:leader="none"/>
              </w:tabs>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sz w:val="24"/>
                <w:szCs w:val="24"/>
              </w:rPr>
              <w:t>2380515,90</w:t>
            </w:r>
          </w:p>
        </w:tc>
      </w:tr>
    </w:tbl>
    <w:p>
      <w:pPr>
        <w:pStyle w:val="Normal"/>
        <w:spacing w:lineRule="auto" w:line="240" w:before="0" w:after="160"/>
        <w:ind w:firstLine="708"/>
        <w:rPr>
          <w:rFonts w:ascii="Times New Roman" w:hAnsi="Times New Roman" w:eastAsia="Calibri" w:cs="Times New Roman"/>
          <w:kern w:val="2"/>
          <w:sz w:val="28"/>
          <w14:ligatures w14:val="standardContextual"/>
        </w:rPr>
      </w:pPr>
      <w:r>
        <w:rPr>
          <w:rFonts w:eastAsia="Calibri" w:cs="Times New Roman" w:ascii="Times New Roman" w:hAnsi="Times New Roman"/>
          <w:kern w:val="2"/>
          <w:sz w:val="28"/>
          <w14:ligatures w14:val="standardContextual"/>
        </w:rPr>
        <w:t xml:space="preserve">   </w:t>
      </w:r>
    </w:p>
    <w:p>
      <w:pPr>
        <w:pStyle w:val="Normal"/>
        <w:spacing w:lineRule="auto" w:line="240" w:before="0" w:after="0"/>
        <w:ind w:firstLine="539"/>
        <w:jc w:val="both"/>
        <w:rPr>
          <w:rFonts w:ascii="Times New Roman" w:hAnsi="Times New Roman" w:cs="Times New Roman"/>
          <w:sz w:val="28"/>
          <w:szCs w:val="28"/>
        </w:rPr>
      </w:pPr>
      <w:r>
        <w:rPr>
          <w:rFonts w:cs="Times New Roman" w:ascii="Times New Roman" w:hAnsi="Times New Roman"/>
          <w:sz w:val="28"/>
          <w:szCs w:val="28"/>
        </w:rPr>
      </w:r>
    </w:p>
    <w:sectPr>
      <w:headerReference w:type="default" r:id="rId5"/>
      <w:headerReference w:type="first" r:id="rId6"/>
      <w:type w:val="nextPage"/>
      <w:pgSz w:orient="landscape" w:w="16838" w:h="11906"/>
      <w:pgMar w:left="1134" w:right="992" w:gutter="0" w:header="709" w:top="1418" w:footer="0" w:bottom="1134"/>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Times New Roman">
    <w:charset w:val="01"/>
    <w:family w:val="roman"/>
    <w:pitch w:val="default"/>
  </w:font>
  <w:font w:name="Calibri">
    <w:charset w:val="01"/>
    <w:family w:val="swiss"/>
    <w:pitch w:val="default"/>
  </w:font>
  <w:font w:name="Segoe UI">
    <w:charset w:val="01"/>
    <w:family w:val="swiss"/>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03159911"/>
    </w:sdtPr>
    <w:sdtContent>
      <w:p>
        <w:pPr>
          <w:pStyle w:val="Head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5</w:t>
        </w:r>
        <w:r>
          <w:rPr>
            <w:rFonts w:cs="Times New Roman" w:ascii="Times New Roman" w:hAnsi="Times New Roman"/>
          </w:rPr>
          <w:fldChar w:fldCharType="end"/>
        </w:r>
      </w:p>
    </w:sdtContent>
  </w:sdt>
  <w:p>
    <w:pPr>
      <w:pStyle w:val="Header"/>
      <w:rPr>
        <w:rFonts w:ascii="Times New Roman" w:hAnsi="Times New Roman" w:cs="Times New Roman"/>
      </w:rPr>
    </w:pPr>
    <w:r>
      <w:rPr>
        <w:rFonts w:cs="Times New Roman" w:ascii="Times New Roman" w:hAnsi="Times New Roma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03159911"/>
    </w:sdtPr>
    <w:sdtContent>
      <w:p>
        <w:pPr>
          <w:pStyle w:val="Head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12</w:t>
        </w:r>
        <w:r>
          <w:rPr>
            <w:rFonts w:cs="Times New Roman" w:ascii="Times New Roman" w:hAnsi="Times New Roman"/>
          </w:rPr>
          <w:fldChar w:fldCharType="end"/>
        </w:r>
      </w:p>
    </w:sdtContent>
  </w:sdt>
  <w:p>
    <w:pPr>
      <w:pStyle w:val="Header"/>
      <w:rPr>
        <w:rFonts w:ascii="Times New Roman" w:hAnsi="Times New Roman" w:cs="Times New Roman"/>
      </w:rPr>
    </w:pPr>
    <w:r>
      <w:rPr>
        <w:rFonts w:cs="Times New Roman" w:ascii="Times New Roman" w:hAnsi="Times New Roman"/>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Hyperlink">
    <w:name w:val="Hyperlink"/>
    <w:uiPriority w:val="99"/>
    <w:unhideWhenUsed/>
    <w:rPr>
      <w:color w:themeColor="hyperlink" w:val="0000FF"/>
      <w:u w:val="single"/>
    </w:rPr>
  </w:style>
  <w:style w:type="character" w:styleId="Style8" w:customStyle="1">
    <w:name w:val="Текст сноски Знак"/>
    <w:uiPriority w:val="99"/>
    <w:qFormat/>
    <w:rPr>
      <w:sz w:val="18"/>
    </w:rPr>
  </w:style>
  <w:style w:type="character" w:styleId="Style9">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Style12" w:customStyle="1">
    <w:name w:val="Основной текст_"/>
    <w:basedOn w:val="DefaultParagraphFont"/>
    <w:link w:val="41"/>
    <w:qFormat/>
    <w:rPr>
      <w:rFonts w:ascii="Times New Roman" w:hAnsi="Times New Roman" w:eastAsia="Times New Roman" w:cs="Times New Roman"/>
      <w:sz w:val="23"/>
      <w:szCs w:val="23"/>
      <w:shd w:fill="FFFFFF" w:val="clear"/>
    </w:rPr>
  </w:style>
  <w:style w:type="character" w:styleId="Strong">
    <w:name w:val="Strong"/>
    <w:basedOn w:val="DefaultParagraphFont"/>
    <w:uiPriority w:val="22"/>
    <w:qFormat/>
    <w:rPr>
      <w:b/>
      <w:bCs/>
    </w:rPr>
  </w:style>
  <w:style w:type="character" w:styleId="Style13" w:customStyle="1">
    <w:name w:val="Верхний колонтитул Знак"/>
    <w:basedOn w:val="DefaultParagraphFont"/>
    <w:uiPriority w:val="99"/>
    <w:qFormat/>
    <w:rPr/>
  </w:style>
  <w:style w:type="character" w:styleId="Style14" w:customStyle="1">
    <w:name w:val="Нижний колонтитул Знак"/>
    <w:basedOn w:val="DefaultParagraphFont"/>
    <w:uiPriority w:val="99"/>
    <w:qFormat/>
    <w:rPr/>
  </w:style>
  <w:style w:type="character" w:styleId="ConsPlusNormal" w:customStyle="1">
    <w:name w:val="ConsPlusNormal Знак"/>
    <w:basedOn w:val="DefaultParagraphFont"/>
    <w:link w:val="ConsPlusNormal1"/>
    <w:qFormat/>
    <w:rsid w:val="00015fca"/>
    <w:rPr>
      <w:rFonts w:ascii="Calibri" w:hAnsi="Calibri" w:eastAsia="Arial" w:cs="Calibri" w:eastAsiaTheme="minorEastAsia"/>
      <w:lang w:eastAsia="ru-RU"/>
    </w:rPr>
  </w:style>
  <w:style w:type="character" w:styleId="Style15" w:customStyle="1">
    <w:name w:val="Текст выноски Знак"/>
    <w:basedOn w:val="DefaultParagraphFont"/>
    <w:link w:val="BalloonText"/>
    <w:uiPriority w:val="99"/>
    <w:semiHidden/>
    <w:qFormat/>
    <w:rsid w:val="00d14003"/>
    <w:rPr>
      <w:rFonts w:ascii="Segoe UI" w:hAnsi="Segoe UI" w:cs="Segoe UI"/>
      <w:sz w:val="18"/>
      <w:szCs w:val="18"/>
    </w:rPr>
  </w:style>
  <w:style w:type="paragraph" w:styleId="Style1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rPr>
      <w:b/>
      <w:bCs/>
      <w:color w:themeColor="accent1"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lineRule="auto" w:line="240" w:before="0" w:after="40"/>
    </w:pPr>
    <w:rPr>
      <w:sz w:val="18"/>
    </w:rPr>
  </w:style>
  <w:style w:type="paragraph" w:styleId="EndnoteText">
    <w:name w:val="endnote text"/>
    <w:basedOn w:val="Normal"/>
    <w:link w:val="Style10"/>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6"/>
    <w:pPr/>
    <w:rPr/>
  </w:style>
  <w:style w:type="paragraph" w:styleId="TOCHeading">
    <w:name w:val="TOC Heading"/>
    <w:uiPriority w:val="39"/>
    <w:unhideWhenUsed/>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spacing w:before="0" w:after="0"/>
    </w:pPr>
    <w:rPr/>
  </w:style>
  <w:style w:type="paragraph" w:styleId="ListParagraph">
    <w:name w:val="List Paragraph"/>
    <w:basedOn w:val="Normal"/>
    <w:uiPriority w:val="34"/>
    <w:qFormat/>
    <w:pPr>
      <w:spacing w:before="0" w:after="200"/>
      <w:ind w:left="720"/>
      <w:contextualSpacing/>
    </w:pPr>
    <w:rPr/>
  </w:style>
  <w:style w:type="paragraph" w:styleId="41" w:customStyle="1">
    <w:name w:val="Основной текст4"/>
    <w:basedOn w:val="Normal"/>
    <w:link w:val="Style12"/>
    <w:qFormat/>
    <w:pPr>
      <w:widowControl w:val="false"/>
      <w:shd w:val="clear" w:color="auto" w:fill="FFFFFF"/>
      <w:spacing w:lineRule="exact" w:line="544" w:before="0" w:after="0"/>
      <w:jc w:val="center"/>
    </w:pPr>
    <w:rPr>
      <w:rFonts w:ascii="Times New Roman" w:hAnsi="Times New Roman" w:eastAsia="Times New Roman" w:cs="Times New Roman"/>
      <w:sz w:val="23"/>
      <w:szCs w:val="23"/>
    </w:rPr>
  </w:style>
  <w:style w:type="paragraph" w:styleId="HeaderandFooter">
    <w:name w:val="Header and Foot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pPr>
      <w:tabs>
        <w:tab w:val="clear" w:pos="708"/>
        <w:tab w:val="center" w:pos="4677" w:leader="none"/>
        <w:tab w:val="right" w:pos="9355" w:leader="none"/>
      </w:tabs>
      <w:spacing w:lineRule="auto" w:line="240" w:before="0" w:after="0"/>
    </w:pPr>
    <w:rPr/>
  </w:style>
  <w:style w:type="paragraph" w:styleId="ConsPlusNormal1" w:customStyle="1">
    <w:name w:val="ConsPlusNormal"/>
    <w:link w:val="ConsPlusNormal"/>
    <w:qFormat/>
    <w:rsid w:val="00015fca"/>
    <w:pPr>
      <w:widowControl w:val="false"/>
      <w:bidi w:val="0"/>
      <w:spacing w:lineRule="auto" w:line="240" w:before="0" w:after="0"/>
      <w:jc w:val="left"/>
    </w:pPr>
    <w:rPr>
      <w:rFonts w:ascii="Calibri" w:hAnsi="Calibri" w:eastAsia="Arial" w:cs="Calibri" w:eastAsiaTheme="minorEastAsia"/>
      <w:color w:val="auto"/>
      <w:kern w:val="0"/>
      <w:sz w:val="22"/>
      <w:szCs w:val="22"/>
      <w:lang w:eastAsia="ru-RU" w:val="ru-RU" w:bidi="ar-SA"/>
    </w:rPr>
  </w:style>
  <w:style w:type="paragraph" w:styleId="11" w:customStyle="1">
    <w:name w:val="Заголовок1"/>
    <w:basedOn w:val="ConsPlusNormal1"/>
    <w:next w:val="Heading1"/>
    <w:qFormat/>
    <w:rsid w:val="00f427e8"/>
    <w:pPr>
      <w:jc w:val="center"/>
    </w:pPr>
    <w:rPr>
      <w:rFonts w:ascii="Times New Roman" w:hAnsi="Times New Roman" w:cs="Times New Roman"/>
      <w:b/>
      <w:sz w:val="24"/>
      <w:szCs w:val="24"/>
    </w:rPr>
  </w:style>
  <w:style w:type="paragraph" w:styleId="formattext" w:customStyle="1">
    <w:name w:val="formattext"/>
    <w:basedOn w:val="Normal"/>
    <w:qFormat/>
    <w:rsid w:val="00873a57"/>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Style15"/>
    <w:uiPriority w:val="99"/>
    <w:semiHidden/>
    <w:unhideWhenUsed/>
    <w:qFormat/>
    <w:rsid w:val="00d14003"/>
    <w:pPr>
      <w:spacing w:lineRule="auto" w:line="240" w:before="0" w:after="0"/>
    </w:pPr>
    <w:rPr>
      <w:rFonts w:ascii="Segoe UI" w:hAnsi="Segoe UI" w:cs="Segoe UI"/>
      <w:sz w:val="18"/>
      <w:szCs w:val="18"/>
    </w:rPr>
  </w:style>
  <w:style w:type="paragraph" w:styleId="Style18">
    <w:name w:val="Верхний колонтитул слева"/>
    <w:basedOn w:val="Header"/>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pPr>
      <w:spacing w:after="0" w:line="240" w:lineRule="auto"/>
    </w:pPr>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pPr>
      <w:spacing w:after="0" w:line="240" w:lineRule="auto"/>
    </w:pPr>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pPr>
      <w:spacing w:after="0" w:line="240" w:lineRule="auto"/>
    </w:pPr>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pPr>
      <w:spacing w:after="0" w:line="240" w:lineRule="auto"/>
    </w:pPr>
    <w:rPr>
      <w:lang w:eastAsia="ru-RU"/>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pPr>
      <w:spacing w:after="0" w:line="240" w:lineRule="auto"/>
    </w:pPr>
    <w:rPr>
      <w:lang w:eastAsia="ru-RU"/>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pPr>
      <w:spacing w:after="0" w:line="240" w:lineRule="auto"/>
    </w:pPr>
    <w:rPr>
      <w:lang w:eastAsia="ru-RU"/>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pPr>
      <w:spacing w:after="0" w:line="240" w:lineRule="auto"/>
    </w:pPr>
    <w:rPr>
      <w:lang w:eastAsia="ru-RU"/>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pPr>
      <w:spacing w:after="0" w:line="240" w:lineRule="auto"/>
    </w:pPr>
    <w:rPr>
      <w:lang w:eastAsia="ru-RU"/>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pPr>
      <w:spacing w:after="0" w:line="240" w:lineRule="auto"/>
    </w:pPr>
    <w:rPr>
      <w:lang w:eastAsia="ru-RU"/>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44D7C-94A1-4AA9-A25A-78EB96CB2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LibreOffice/24.8.4.2$Linux_X86_64 LibreOffice_project/480$Build-2</Application>
  <AppVersion>15.0000</AppVersion>
  <DocSecurity>4</DocSecurity>
  <Pages>18</Pages>
  <Words>3177</Words>
  <Characters>24028</Characters>
  <CharactersWithSpaces>27534</CharactersWithSpaces>
  <Paragraphs>601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2026-03-06T06:09:00Z</dcterms:created>
  <dc:creator>Кирилл А. Стамиков</dc:creator>
  <dc:description/>
  <dc:language>ru-RU</dc:language>
  <cp:lastModifiedBy/>
  <cp:lastPrinted>2025-04-02T06:06:00Z</cp:lastPrinted>
  <dcterms:modified xsi:type="dcterms:W3CDTF">2026-03-06T11:10:45Z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