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87ABC" w:rsidRDefault="00101800">
      <w:pPr>
        <w:spacing w:after="0" w:line="240" w:lineRule="auto"/>
        <w:ind w:left="5670"/>
        <w:rPr>
          <w:rFonts w:ascii="Times New Roman" w:hAnsi="Times New Roman" w:cs="Times New Roman"/>
          <w:bCs/>
          <w:sz w:val="28"/>
          <w:szCs w:val="28"/>
        </w:rPr>
      </w:pPr>
      <w:bookmarkStart w:id="0" w:name="sub_1000"/>
      <w:r>
        <w:rPr>
          <w:rFonts w:ascii="Times New Roman" w:hAnsi="Times New Roman" w:cs="Times New Roman"/>
          <w:bCs/>
          <w:sz w:val="28"/>
          <w:szCs w:val="28"/>
        </w:rPr>
        <w:t>УТВЕРЖДЕНА</w:t>
      </w:r>
      <w:r>
        <w:rPr>
          <w:rFonts w:ascii="Times New Roman" w:hAnsi="Times New Roman" w:cs="Times New Roman"/>
          <w:bCs/>
          <w:sz w:val="28"/>
          <w:szCs w:val="28"/>
        </w:rPr>
        <w:br/>
        <w:t xml:space="preserve">распоряжением администрации </w:t>
      </w:r>
    </w:p>
    <w:p w:rsidR="00D87ABC" w:rsidRDefault="00101800">
      <w:pPr>
        <w:spacing w:after="0" w:line="240" w:lineRule="auto"/>
        <w:ind w:left="567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Копейского городского округа</w:t>
      </w:r>
      <w:r>
        <w:rPr>
          <w:rFonts w:ascii="Times New Roman" w:hAnsi="Times New Roman" w:cs="Times New Roman"/>
          <w:bCs/>
          <w:sz w:val="28"/>
          <w:szCs w:val="28"/>
        </w:rPr>
        <w:br/>
        <w:t>от______________№_________</w:t>
      </w:r>
    </w:p>
    <w:bookmarkEnd w:id="0"/>
    <w:p w:rsidR="00D87ABC" w:rsidRDefault="00D87AB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D87ABC" w:rsidRDefault="0010180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Муниципальная программа</w:t>
      </w:r>
    </w:p>
    <w:p w:rsidR="00D87ABC" w:rsidRDefault="0010180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«Развитие культуры Копейского городского округа»</w:t>
      </w:r>
    </w:p>
    <w:p w:rsidR="00D87ABC" w:rsidRDefault="00D87AB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D87ABC" w:rsidRDefault="00101800">
      <w:pPr>
        <w:pStyle w:val="a3"/>
        <w:numPr>
          <w:ilvl w:val="0"/>
          <w:numId w:val="1"/>
        </w:numPr>
        <w:spacing w:after="0" w:line="240" w:lineRule="auto"/>
        <w:ind w:left="0" w:firstLine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Оценка текущего состояния сферы культуры</w:t>
      </w:r>
    </w:p>
    <w:p w:rsidR="00D87ABC" w:rsidRDefault="00D87ABC">
      <w:pPr>
        <w:pStyle w:val="a3"/>
        <w:spacing w:after="0" w:line="240" w:lineRule="auto"/>
        <w:ind w:left="1080"/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</w:p>
    <w:p w:rsidR="00D87ABC" w:rsidRDefault="00101800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Муниципальная программа «Развитие культуры Копейского городского округа» (далее – Программа) определяет приоритеты и цели муниципальной политики в сфере культуры в Копейском городском округе (далее – городской округ), их </w:t>
      </w:r>
      <w:proofErr w:type="spellStart"/>
      <w:r>
        <w:rPr>
          <w:rFonts w:ascii="Times New Roman" w:hAnsi="Times New Roman" w:cs="Times New Roman"/>
          <w:sz w:val="28"/>
          <w:szCs w:val="28"/>
        </w:rPr>
        <w:t>взаимоувязку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со стратегическими приоритетами, задачи муниципального управления, способы их эффективного решения (финансовое обеспечение, механизмы реализации, показатели результативности).</w:t>
      </w:r>
    </w:p>
    <w:p w:rsidR="00D87ABC" w:rsidRDefault="00101800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Программа направлена на создание на территории городского округа благоприятных условий для формирования духовно-нравственных и культурно-ценностных ориентиров жителей города, обеспечение гармоничного развития личности. Объектом Программы является сфера культуры, функционирование и материально-техническая база муниципальных учреждений культуры и дополнительного образования, реализация муниципальной политики в деятельности управления культуры администрации городского округа (далее – управление культуры администрации).</w:t>
      </w:r>
    </w:p>
    <w:p w:rsidR="00D87ABC" w:rsidRDefault="00101800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 территории городского округа сложилась хорошо развитая сеть муниципальных учреждений культуры, которая, в основном, </w:t>
      </w:r>
      <w:proofErr w:type="gramStart"/>
      <w:r>
        <w:rPr>
          <w:rFonts w:ascii="Times New Roman" w:hAnsi="Times New Roman" w:cs="Times New Roman"/>
          <w:sz w:val="28"/>
          <w:szCs w:val="28"/>
        </w:rPr>
        <w:t>соответствует  распоряжению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Министерства культуры Российской Федерации от 23.10.2023 № Р-2879 «Об утверждении методических рекомендаций органам государственной власти субъектов Российской Федерации и органам местного самоуправления о применении нормативов и норм оптимального размещения организаций культуры и обеспеченности населения услугами организаций культуры». Задачи культурной политики в городском округе на муниципальном уровне реализуются сетью следующих учреждений:</w:t>
      </w:r>
    </w:p>
    <w:p w:rsidR="00D87ABC" w:rsidRDefault="00101800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дома культуры – 13 объектов, из них 6 юридических лиц: МУ «ДК Бажова», МУ «ДК Петрякова», МУ «ДК Маяковского» (имеет 4 обособленных подразделения: ДК Лермонтова, ДК с. </w:t>
      </w:r>
      <w:proofErr w:type="spellStart"/>
      <w:r>
        <w:rPr>
          <w:rFonts w:ascii="Times New Roman" w:hAnsi="Times New Roman" w:cs="Times New Roman"/>
          <w:sz w:val="28"/>
          <w:szCs w:val="28"/>
        </w:rPr>
        <w:t>Калачево</w:t>
      </w:r>
      <w:proofErr w:type="spellEnd"/>
      <w:r>
        <w:rPr>
          <w:rFonts w:ascii="Times New Roman" w:hAnsi="Times New Roman" w:cs="Times New Roman"/>
          <w:sz w:val="28"/>
          <w:szCs w:val="28"/>
        </w:rPr>
        <w:t>, ДК пос. Заозерный, ДК с. Синеглазово); МУ «ДК Кирова» (имеет обособленное подразделение: ДК Угольщиков); МУ «ДК 30 лет ВЛКСМ» (имеет обособленное подразделение: ДК Вахрушева); МУ «ДК Ильича» (имеет обособленное подразделение: ДК РМЗ);</w:t>
      </w:r>
    </w:p>
    <w:p w:rsidR="00D87ABC" w:rsidRDefault="00101800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МУ «ЦБС», состоящая из 12 библиотек;</w:t>
      </w:r>
    </w:p>
    <w:p w:rsidR="00D87ABC" w:rsidRDefault="00101800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МУ «Краеведческий музей»;</w:t>
      </w:r>
    </w:p>
    <w:p w:rsidR="00D87ABC" w:rsidRDefault="00101800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- 3 школы дополнительного образования.</w:t>
      </w:r>
    </w:p>
    <w:p w:rsidR="0069753C" w:rsidRDefault="0069753C" w:rsidP="0069753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69753C">
        <w:rPr>
          <w:rFonts w:ascii="Times New Roman" w:hAnsi="Times New Roman" w:cs="Times New Roman"/>
          <w:sz w:val="28"/>
          <w:szCs w:val="28"/>
        </w:rPr>
        <w:t xml:space="preserve">В 2026 году для реализации полномочий органов местного самоуправления Копейского городского округа в сфере создания условий для </w:t>
      </w:r>
      <w:r w:rsidRPr="0069753C">
        <w:rPr>
          <w:rFonts w:ascii="Times New Roman" w:hAnsi="Times New Roman" w:cs="Times New Roman"/>
          <w:sz w:val="28"/>
          <w:szCs w:val="28"/>
        </w:rPr>
        <w:lastRenderedPageBreak/>
        <w:t>массового отдыха населения и благоустройства мест массового отдыха населения, обеспечения территориальной целостности природного комплекса и единства имущественного комплекса парков культуры и отдыха, культурных пространств Копейского городского округа создано МУ «Дирекция городских парков и культурных пространств». Учреждение призвано обеспечить содержание, развитие и благоустройство трех закрепленных территорий: площадь Трудовой Славы, Парк Победы и Городской парк отдыха по                          ул. Борьбы, д. 20. Это позволит обеспечить улучшение качества услуг в сфере досуга, отдыха, развлечений, парковой и рекреационной деятельности для населения.</w:t>
      </w:r>
    </w:p>
    <w:p w:rsidR="00D87ABC" w:rsidRDefault="00101800">
      <w:pPr>
        <w:pStyle w:val="a3"/>
        <w:numPr>
          <w:ilvl w:val="0"/>
          <w:numId w:val="1"/>
        </w:numPr>
        <w:spacing w:after="0" w:line="240" w:lineRule="auto"/>
        <w:ind w:left="0" w:firstLine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Приоритеты и цели муниципальной политики</w:t>
      </w:r>
    </w:p>
    <w:p w:rsidR="00D87ABC" w:rsidRDefault="00101800">
      <w:pPr>
        <w:pStyle w:val="a3"/>
        <w:spacing w:after="0" w:line="240" w:lineRule="auto"/>
        <w:ind w:left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сфере реализации муниципальной программы</w:t>
      </w:r>
    </w:p>
    <w:p w:rsidR="00D87ABC" w:rsidRDefault="00D87AB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87ABC" w:rsidRDefault="00101800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Программа разработана в целях реализации основных направлений Стратегии Правительства Российской Федерации в области социально-экономического развития в сфере культурной политики и Федерального закона от 06 октября 2003 года № 131-ФЗ «Об общих принципах организации местного самоуправления в Российской Федерации».</w:t>
      </w:r>
    </w:p>
    <w:p w:rsidR="00D87ABC" w:rsidRDefault="00101800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Важнейшими документами для планирования и повышения эффективности управления в сфере культуры и дополнительного образования являются Указы Президента Российской Федерации от 07.05.2012 № 597 «О мероприятиях по реализации государственной социальной политики», от 01.06.2012 № 761 «О Национальной стратегии действий в интересах детей на 2012-2017 годы», от 07.05.2012 № 599 «О мерах по реализации государственной политики в области образования и науки», от 24.12.2014 № 808 «Об утверждении основ государственной культурной политики», </w:t>
      </w:r>
      <w:hyperlink r:id="rId7" w:history="1">
        <w:r>
          <w:rPr>
            <w:rStyle w:val="a4"/>
            <w:rFonts w:ascii="Times New Roman" w:hAnsi="Times New Roman" w:cs="Times New Roman"/>
            <w:iCs/>
            <w:color w:val="auto"/>
            <w:sz w:val="28"/>
            <w:szCs w:val="28"/>
            <w:u w:val="none"/>
          </w:rPr>
          <w:t>от 07.05.2024 № 309 «О национальных целях развития Российской Федерации на период до 2030 года и на перспективу до 2036 года</w:t>
        </w:r>
      </w:hyperlink>
      <w:r>
        <w:rPr>
          <w:rFonts w:ascii="Times New Roman" w:hAnsi="Times New Roman" w:cs="Times New Roman"/>
          <w:iCs/>
          <w:sz w:val="28"/>
          <w:szCs w:val="28"/>
        </w:rPr>
        <w:t xml:space="preserve">», </w:t>
      </w:r>
      <w:r>
        <w:rPr>
          <w:rFonts w:ascii="Times New Roman" w:hAnsi="Times New Roman" w:cs="Times New Roman"/>
          <w:sz w:val="28"/>
          <w:szCs w:val="28"/>
        </w:rPr>
        <w:t>национальный проект «Культура», у</w:t>
      </w:r>
      <w:r>
        <w:rPr>
          <w:rFonts w:ascii="Times New Roman" w:hAnsi="Times New Roman" w:cs="Times New Roman"/>
          <w:iCs/>
          <w:sz w:val="28"/>
          <w:szCs w:val="28"/>
        </w:rPr>
        <w:t>твержденный президиумом Совета при Президенте Российской Федерации по стратегическому развитию и национальным проектам (протокол от 24.12.2018 № 16).</w:t>
      </w:r>
    </w:p>
    <w:p w:rsidR="00D87ABC" w:rsidRDefault="00101800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распоряжении Правительства Российской Федерации от 11.09.2024 № 2501-р «О Стратегии государственной культурной политики на период до 2030 года» указано, что государство впервые возводит культуру в ранг национальных приоритетов и признает ее важнейшим фактором роста качества жизни и гармонизации общественных отношений, залогом динамичного социально-экономического развития, гарантом сохранения единого культурного пространства и территориальной целостности России.</w:t>
      </w:r>
    </w:p>
    <w:p w:rsidR="00D87ABC" w:rsidRDefault="00101800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Стратегией социально-экономического развития Копейского городского округа на период до 2035 года (далее – Стратегия) определены следующие п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риоритеты, цели, задачи и направления социально-экономической политики</w:t>
      </w:r>
      <w:r>
        <w:rPr>
          <w:rFonts w:ascii="Times New Roman" w:hAnsi="Times New Roman" w:cs="Times New Roman"/>
          <w:sz w:val="28"/>
          <w:szCs w:val="28"/>
        </w:rPr>
        <w:t xml:space="preserve"> по направлению «Социальная сфера», в частности в области культуры.</w:t>
      </w:r>
    </w:p>
    <w:p w:rsidR="00D87ABC" w:rsidRDefault="00101800">
      <w:pPr>
        <w:pStyle w:val="s1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Цель: развитие, модернизация и реформирование социальной сферы.</w:t>
      </w:r>
    </w:p>
    <w:p w:rsidR="00D87ABC" w:rsidRDefault="00101800">
      <w:pPr>
        <w:pStyle w:val="s1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Задача: создание культурной среды для сохранения, накопления и развития человеческого капитала, повышения уровня удовлетворенности населения качеством и доступностью услуг в сфере культуры, укрепления духовной общности и гармонизации межнациональных отношений.</w:t>
      </w:r>
    </w:p>
    <w:p w:rsidR="00D87ABC" w:rsidRDefault="00101800">
      <w:pPr>
        <w:pStyle w:val="s1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Показатели:</w:t>
      </w:r>
    </w:p>
    <w:p w:rsidR="00D87ABC" w:rsidRDefault="00101800">
      <w:pPr>
        <w:pStyle w:val="s1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 Результаты независимой оценки качества условий оказания услуг муниципальными организациями в сфере культуры.</w:t>
      </w:r>
    </w:p>
    <w:p w:rsidR="00D87ABC" w:rsidRDefault="00101800">
      <w:pPr>
        <w:pStyle w:val="s1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 Охват населения услугами учреждений культуры.</w:t>
      </w:r>
    </w:p>
    <w:p w:rsidR="00D87ABC" w:rsidRDefault="00101800">
      <w:pPr>
        <w:pStyle w:val="s1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 Доля зданий учреждений культуры, находящихся в аварийном состоянии и требующих капитального ремонта.</w:t>
      </w:r>
    </w:p>
    <w:p w:rsidR="00D87ABC" w:rsidRDefault="00101800">
      <w:pPr>
        <w:pStyle w:val="s1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Механизмы реализации задачи:</w:t>
      </w:r>
    </w:p>
    <w:p w:rsidR="00D87ABC" w:rsidRDefault="00101800">
      <w:pPr>
        <w:pStyle w:val="s1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 Реконструкция, ремонт и оснащение учреждений культуры, находящихся в неудовлетворительном техническом состоянии и не отвечающих современным требованиям эксплуатации, в том числе с привлечением внебюджетных источников финансирования и финансирования из федерального бюджета.</w:t>
      </w:r>
    </w:p>
    <w:p w:rsidR="00D87ABC" w:rsidRDefault="00101800">
      <w:pPr>
        <w:pStyle w:val="s1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 Укрепление материально-технической базы учреждений культуры, в том числе с привлечением федеральных и региональных средств за счет участия в государственных программах и национальных (региональных) проектах.</w:t>
      </w:r>
    </w:p>
    <w:p w:rsidR="00D87ABC" w:rsidRDefault="00101800">
      <w:pPr>
        <w:pStyle w:val="s1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 Создание условий для привлечения в сферу культуры высококвалифицированных кадров, их постоянного саморазвития и самообучения, повышения уровня квалификации.</w:t>
      </w:r>
    </w:p>
    <w:p w:rsidR="00D87ABC" w:rsidRDefault="00101800">
      <w:pPr>
        <w:pStyle w:val="s1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4. Содействие повышению конкурентоспособности творческих коллективов городского округа на региональном, российском и международном уровнях.</w:t>
      </w:r>
    </w:p>
    <w:p w:rsidR="00D87ABC" w:rsidRDefault="00101800">
      <w:pPr>
        <w:pStyle w:val="s1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5. Разработка и реализация культурно-досуговых мероприятий высокого уровня посредством партнерства учреждений культуры, предпринимательства, некоммерческих ассоциаций и вовлечения в такие мероприятия населения городского округа.</w:t>
      </w:r>
    </w:p>
    <w:p w:rsidR="00D87ABC" w:rsidRDefault="00101800">
      <w:pPr>
        <w:pStyle w:val="s1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6. Вовлечение большего числа граждан в культурные процессы, в том числе за счет </w:t>
      </w:r>
      <w:proofErr w:type="spellStart"/>
      <w:r>
        <w:rPr>
          <w:sz w:val="28"/>
          <w:szCs w:val="28"/>
        </w:rPr>
        <w:t>цифровизации</w:t>
      </w:r>
      <w:proofErr w:type="spellEnd"/>
      <w:r>
        <w:rPr>
          <w:sz w:val="28"/>
          <w:szCs w:val="28"/>
        </w:rPr>
        <w:t xml:space="preserve"> культурной среды.</w:t>
      </w:r>
    </w:p>
    <w:p w:rsidR="00D87ABC" w:rsidRDefault="00101800">
      <w:pPr>
        <w:pStyle w:val="s1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7. Создание условий для граждан в части реализации их потребностей в культурном развитии, самореализации, творчестве с помощью современной инфраструктуры в сфере культуры.</w:t>
      </w:r>
    </w:p>
    <w:p w:rsidR="00D87ABC" w:rsidRDefault="00101800">
      <w:pPr>
        <w:pStyle w:val="s1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8. Укрепление единства российской нации и создание условий для этнокультурного развития народов Российской Федерации, проживающих на территории городского округа, сохранение этнокультурной самобытности народов России за счет:</w:t>
      </w:r>
    </w:p>
    <w:p w:rsidR="00D87ABC" w:rsidRDefault="00101800">
      <w:pPr>
        <w:pStyle w:val="s1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а) проведения мероприятий, просвещающих об истории и культуре народов Российской Федерации, проживающих в городском округе, в том числе за счет привлечения СМИ;</w:t>
      </w:r>
    </w:p>
    <w:p w:rsidR="00D87ABC" w:rsidRDefault="00101800">
      <w:pPr>
        <w:pStyle w:val="s1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б) проведения тематических праздников и культурно-массовых мероприятий, освещающих традиции и культуру народов Российской Федерации, проживающих на территории городского округа;</w:t>
      </w:r>
    </w:p>
    <w:p w:rsidR="00D87ABC" w:rsidRDefault="00101800">
      <w:pPr>
        <w:pStyle w:val="s1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в) формирования в обществе атмосферы уважения к историческому наследию и культурным ценностям народов Российской Федерации.</w:t>
      </w:r>
    </w:p>
    <w:p w:rsidR="00D87ABC" w:rsidRDefault="00D87AB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87ABC" w:rsidRDefault="00101800">
      <w:pPr>
        <w:pStyle w:val="a3"/>
        <w:numPr>
          <w:ilvl w:val="0"/>
          <w:numId w:val="1"/>
        </w:numPr>
        <w:spacing w:after="0" w:line="240" w:lineRule="auto"/>
        <w:ind w:left="0" w:firstLine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Сведения о </w:t>
      </w:r>
      <w:proofErr w:type="spellStart"/>
      <w:r>
        <w:rPr>
          <w:rFonts w:ascii="Times New Roman" w:hAnsi="Times New Roman" w:cs="Times New Roman"/>
          <w:sz w:val="28"/>
          <w:szCs w:val="28"/>
        </w:rPr>
        <w:t>взаимоувязке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со стратегическими приоритетами</w:t>
      </w:r>
    </w:p>
    <w:p w:rsidR="00D87ABC" w:rsidRDefault="00D87ABC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87ABC" w:rsidRDefault="00101800">
      <w:pPr>
        <w:tabs>
          <w:tab w:val="left" w:pos="993"/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 составлении Программы учтены национальные цели развития Российской Федерации на период до 2030 года и на перспективу до 2036 года в области культуры, определенные </w:t>
      </w:r>
      <w:hyperlink r:id="rId8" w:history="1">
        <w:r>
          <w:rPr>
            <w:rStyle w:val="a4"/>
            <w:rFonts w:ascii="Times New Roman" w:hAnsi="Times New Roman" w:cs="Times New Roman"/>
            <w:color w:val="auto"/>
            <w:sz w:val="28"/>
            <w:szCs w:val="28"/>
            <w:u w:val="none"/>
          </w:rPr>
          <w:t>Указом Президента Российской Федерации от 07.05.2024 № 309 «О национальных целях развития Российской Федерации на период до 2030 года и на перспективу до 2036 года</w:t>
        </w:r>
      </w:hyperlink>
      <w:r>
        <w:rPr>
          <w:rFonts w:ascii="Times New Roman" w:hAnsi="Times New Roman" w:cs="Times New Roman"/>
          <w:sz w:val="28"/>
          <w:szCs w:val="28"/>
        </w:rPr>
        <w:t>»:</w:t>
      </w:r>
    </w:p>
    <w:p w:rsidR="00D87ABC" w:rsidRDefault="0010180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1" w:name="sub_102"/>
      <w:r>
        <w:rPr>
          <w:rFonts w:ascii="Times New Roman" w:hAnsi="Times New Roman" w:cs="Times New Roman"/>
          <w:sz w:val="28"/>
          <w:szCs w:val="28"/>
        </w:rPr>
        <w:t>- реализация потенциала каждого человека, развитие его талантов, воспитание патриотичной и социально ответственной личности;</w:t>
      </w:r>
    </w:p>
    <w:p w:rsidR="00D87ABC" w:rsidRDefault="0010180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2" w:name="sub_13"/>
      <w:bookmarkEnd w:id="1"/>
      <w:r>
        <w:rPr>
          <w:rFonts w:ascii="Times New Roman" w:hAnsi="Times New Roman" w:cs="Times New Roman"/>
          <w:sz w:val="28"/>
          <w:szCs w:val="28"/>
        </w:rPr>
        <w:t>- комфортная и безопасная среда для жизни.</w:t>
      </w:r>
    </w:p>
    <w:bookmarkEnd w:id="2"/>
    <w:p w:rsidR="00D87ABC" w:rsidRDefault="0010180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Целевым показателем и задачей, выполнение которой характеризует достижение национальной цели «Реализация потенциала каждого человека, развитие его талантов, воспитание патриотичной и социально ответственной личности» является повышение к 2030 году удовлетворенности граждан работой государственных и муниципальных организаций культуры, искусства и народного творчества.</w:t>
      </w:r>
    </w:p>
    <w:p w:rsidR="00D87ABC" w:rsidRDefault="00101800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Стратегии данные показатели отражены по направлению «Социальная сфера».</w:t>
      </w:r>
    </w:p>
    <w:p w:rsidR="00D87ABC" w:rsidRDefault="0010180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Цель Стратегии: развитие, модернизация и реформирование социальной сферы.</w:t>
      </w:r>
    </w:p>
    <w:p w:rsidR="00D87ABC" w:rsidRDefault="0010180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Задача Стратегии: создание культурной среды для сохранения, накопления и развития человеческого капитала, повышения уровня удовлетворенности населения качеством и доступностью услуг в сфере культуры, укрепления духовной общности и гармонизации межнациональных отношений.</w:t>
      </w:r>
    </w:p>
    <w:p w:rsidR="00D87ABC" w:rsidRDefault="0010180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Механизмы реализации задачи: разработка и реализация культурно-досуговых мероприятий высокого уровня посредством партнерства учреждений культуры, предпринимательства, некоммерческих ассоциаций и вовлечения в такие мероприятия населения городского округа.</w:t>
      </w:r>
    </w:p>
    <w:p w:rsidR="00D87ABC" w:rsidRDefault="0010180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Показатель Стратегии: охват населения услугами учреждений культуры.</w:t>
      </w:r>
    </w:p>
    <w:p w:rsidR="00D87ABC" w:rsidRDefault="00101800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 Стратегией Программа взаимоувязана посредством следующих показателей:</w:t>
      </w:r>
    </w:p>
    <w:p w:rsidR="00D87ABC" w:rsidRDefault="00101800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охват населения библиотечными формами обслуживания;</w:t>
      </w:r>
    </w:p>
    <w:p w:rsidR="00D87ABC" w:rsidRDefault="00101800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суммарное количество мероприятий, проведенных учреждениями культурно-досугового типа;</w:t>
      </w:r>
    </w:p>
    <w:p w:rsidR="00D87ABC" w:rsidRDefault="00101800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охват населения публичным показом музейных предметов и музейных коллекций;</w:t>
      </w:r>
    </w:p>
    <w:p w:rsidR="0069753C" w:rsidRDefault="00101800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охват детей обучением в школах дополнительного образования</w:t>
      </w:r>
      <w:r w:rsidR="0069753C">
        <w:rPr>
          <w:rFonts w:ascii="Times New Roman" w:hAnsi="Times New Roman" w:cs="Times New Roman"/>
          <w:sz w:val="28"/>
          <w:szCs w:val="28"/>
        </w:rPr>
        <w:t>;</w:t>
      </w:r>
    </w:p>
    <w:p w:rsidR="00D87ABC" w:rsidRDefault="0069753C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количество благоустроенных мест массового отдыха населения</w:t>
      </w:r>
      <w:r w:rsidR="00101800">
        <w:rPr>
          <w:rFonts w:ascii="Times New Roman" w:hAnsi="Times New Roman" w:cs="Times New Roman"/>
          <w:sz w:val="28"/>
          <w:szCs w:val="28"/>
        </w:rPr>
        <w:t>.</w:t>
      </w:r>
    </w:p>
    <w:p w:rsidR="00D87ABC" w:rsidRDefault="00101800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целях реализации национальной цели комфортная и безопасная среда для жизни в Стратегии предусмотрен следующий показатель: доля зданий </w:t>
      </w:r>
      <w:r>
        <w:rPr>
          <w:rFonts w:ascii="Times New Roman" w:hAnsi="Times New Roman" w:cs="Times New Roman"/>
          <w:sz w:val="28"/>
          <w:szCs w:val="28"/>
        </w:rPr>
        <w:lastRenderedPageBreak/>
        <w:t xml:space="preserve">учреждений культуры, находящихся в аварийном состоянии и требующих капитального ремонта. </w:t>
      </w:r>
    </w:p>
    <w:p w:rsidR="00D87ABC" w:rsidRDefault="00101800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Показатель реализуется через следующие механизмы:</w:t>
      </w:r>
    </w:p>
    <w:p w:rsidR="00D87ABC" w:rsidRDefault="00101800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укрепление материально-технической базы учреждений культуры, в том числе с привлечением федеральных и региональных средств за счет участия в государственных программах и национальных (региональных) проектах;</w:t>
      </w:r>
    </w:p>
    <w:p w:rsidR="00D87ABC" w:rsidRDefault="00101800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создание условий для граждан в части реализации их потребностей в культурном развитии, самореализации, творчестве с помощью современной инфраструктуры в сфере культуры. </w:t>
      </w:r>
    </w:p>
    <w:p w:rsidR="00D87ABC" w:rsidRDefault="00101800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Программе для достижения данных целей предусмотрены такие мероприятия (результаты) комплекса процессных мероприятий, как проведение ремонтных работ, составление проектно-сметной документации, проведение противопожарных мероприятий, обеспечение безопасных условий жизнедеятельности, у</w:t>
      </w:r>
      <w:r>
        <w:rPr>
          <w:rFonts w:ascii="Times New Roman" w:hAnsi="Times New Roman" w:cs="Times New Roman"/>
          <w:bCs/>
          <w:sz w:val="28"/>
          <w:szCs w:val="28"/>
        </w:rPr>
        <w:t>крепление материально-технической базы.</w:t>
      </w:r>
    </w:p>
    <w:p w:rsidR="00D87ABC" w:rsidRDefault="00D87AB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87ABC" w:rsidRDefault="00101800">
      <w:pPr>
        <w:pStyle w:val="a3"/>
        <w:numPr>
          <w:ilvl w:val="0"/>
          <w:numId w:val="1"/>
        </w:numPr>
        <w:spacing w:after="0" w:line="240" w:lineRule="auto"/>
        <w:ind w:left="0" w:firstLine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Задачи муниципального управления,</w:t>
      </w:r>
    </w:p>
    <w:p w:rsidR="00D87ABC" w:rsidRDefault="00101800">
      <w:pPr>
        <w:pStyle w:val="a3"/>
        <w:spacing w:after="0" w:line="240" w:lineRule="auto"/>
        <w:ind w:left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способы их эффективного решения в сфере культуры</w:t>
      </w:r>
    </w:p>
    <w:p w:rsidR="00D87ABC" w:rsidRDefault="00D87ABC">
      <w:pPr>
        <w:pStyle w:val="a3"/>
        <w:spacing w:after="0" w:line="240" w:lineRule="auto"/>
        <w:ind w:left="0"/>
        <w:jc w:val="center"/>
        <w:rPr>
          <w:rFonts w:ascii="Times New Roman" w:hAnsi="Times New Roman"/>
          <w:sz w:val="28"/>
          <w:szCs w:val="28"/>
        </w:rPr>
      </w:pPr>
    </w:p>
    <w:p w:rsidR="00D87ABC" w:rsidRDefault="00101800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bookmarkStart w:id="3" w:name="sub_1089"/>
      <w:r>
        <w:rPr>
          <w:rFonts w:ascii="Times New Roman" w:hAnsi="Times New Roman"/>
          <w:sz w:val="28"/>
          <w:szCs w:val="28"/>
        </w:rPr>
        <w:t xml:space="preserve">Ответственный исполнитель Программы: </w:t>
      </w:r>
    </w:p>
    <w:p w:rsidR="00D87ABC" w:rsidRDefault="00101800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Управление культуры администрации.</w:t>
      </w:r>
    </w:p>
    <w:p w:rsidR="00D87ABC" w:rsidRDefault="00101800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Ответственный исполнитель Программы обеспечивает:</w:t>
      </w:r>
    </w:p>
    <w:p w:rsidR="00D87ABC" w:rsidRDefault="00101800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4" w:name="sub_1090"/>
      <w:bookmarkEnd w:id="3"/>
      <w:r>
        <w:rPr>
          <w:rFonts w:ascii="Times New Roman" w:hAnsi="Times New Roman" w:cs="Times New Roman"/>
          <w:sz w:val="28"/>
          <w:szCs w:val="28"/>
        </w:rPr>
        <w:t>1) текущее управление реализацией Программы;</w:t>
      </w:r>
    </w:p>
    <w:p w:rsidR="00D87ABC" w:rsidRDefault="00101800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5" w:name="sub_1091"/>
      <w:bookmarkEnd w:id="4"/>
      <w:r>
        <w:rPr>
          <w:rFonts w:ascii="Times New Roman" w:hAnsi="Times New Roman" w:cs="Times New Roman"/>
          <w:sz w:val="28"/>
          <w:szCs w:val="28"/>
        </w:rPr>
        <w:t>2) достижение утвержденных значений целевых индикаторов, ожидаемых результатов реализации Программы;</w:t>
      </w:r>
    </w:p>
    <w:p w:rsidR="00D87ABC" w:rsidRDefault="00101800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6" w:name="sub_1092"/>
      <w:bookmarkEnd w:id="5"/>
      <w:r>
        <w:rPr>
          <w:rFonts w:ascii="Times New Roman" w:hAnsi="Times New Roman" w:cs="Times New Roman"/>
          <w:sz w:val="28"/>
          <w:szCs w:val="28"/>
        </w:rPr>
        <w:t>3) внесение изменений в Программу в установленном порядке;</w:t>
      </w:r>
    </w:p>
    <w:p w:rsidR="00D87ABC" w:rsidRDefault="00101800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7" w:name="sub_1093"/>
      <w:bookmarkEnd w:id="6"/>
      <w:r>
        <w:rPr>
          <w:rFonts w:ascii="Times New Roman" w:hAnsi="Times New Roman" w:cs="Times New Roman"/>
          <w:sz w:val="28"/>
          <w:szCs w:val="28"/>
        </w:rPr>
        <w:t>4) ежегодное уточнение с учетом выделенных на реализацию Программы финансовых средств целевых индикаторов и показателей ожидаемых результатов исполнения мероприятий Программы, затрат по программным мероприятиям, механизмов реализации Программы;</w:t>
      </w:r>
    </w:p>
    <w:p w:rsidR="00D87ABC" w:rsidRDefault="00101800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8" w:name="sub_1094"/>
      <w:bookmarkEnd w:id="7"/>
      <w:r>
        <w:rPr>
          <w:rFonts w:ascii="Times New Roman" w:hAnsi="Times New Roman" w:cs="Times New Roman"/>
          <w:sz w:val="28"/>
          <w:szCs w:val="28"/>
        </w:rPr>
        <w:t>5) уточнение на основе анализа выполнения мероприятий Программы и ее эффективности в текущем году объема средств, необходимых для финансирования Программы в очередном финансовом году;</w:t>
      </w:r>
    </w:p>
    <w:p w:rsidR="00D87ABC" w:rsidRDefault="00101800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9" w:name="sub_1095"/>
      <w:bookmarkEnd w:id="8"/>
      <w:r>
        <w:rPr>
          <w:rFonts w:ascii="Times New Roman" w:hAnsi="Times New Roman" w:cs="Times New Roman"/>
          <w:sz w:val="28"/>
          <w:szCs w:val="28"/>
        </w:rPr>
        <w:t>6) в случае необходимости подготовку предложений по внесению изменений, касающихся объемов бюджетных ассигнований ответственного исполнителя, в решение Собрания депутатов Копейского городского округа Челябинской области о бюджете города Копейска на текущий финансовый год и плановый период с обоснованием предложенных изменений;</w:t>
      </w:r>
    </w:p>
    <w:p w:rsidR="00D87ABC" w:rsidRDefault="00101800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10" w:name="sub_1096"/>
      <w:bookmarkEnd w:id="9"/>
      <w:r>
        <w:rPr>
          <w:rFonts w:ascii="Times New Roman" w:hAnsi="Times New Roman" w:cs="Times New Roman"/>
          <w:sz w:val="28"/>
          <w:szCs w:val="28"/>
        </w:rPr>
        <w:t xml:space="preserve">7) представление в управление экономического развития администрации городского округа (далее – управление экономического развития) отчета </w:t>
      </w:r>
      <w:bookmarkStart w:id="11" w:name="sub_1097"/>
      <w:bookmarkEnd w:id="10"/>
      <w:r>
        <w:rPr>
          <w:rFonts w:ascii="Times New Roman" w:hAnsi="Times New Roman" w:cs="Times New Roman"/>
          <w:sz w:val="28"/>
          <w:szCs w:val="28"/>
        </w:rPr>
        <w:t xml:space="preserve">о реализации Программы за полугодие и девять месяцев текущего года (далее – отчетный период), заполняемые нарастающим итогом с начала года, – не позднее 16 числа месяца, следующего за отчетным периодом; </w:t>
      </w:r>
    </w:p>
    <w:p w:rsidR="00D87ABC" w:rsidRDefault="00101800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8) представление в управление экономического развития годового отчета о реализации Программы (далее – годовой отчет) – не позднее 1 марта года, следующего за отчетным годом;</w:t>
      </w:r>
    </w:p>
    <w:p w:rsidR="00D87ABC" w:rsidRDefault="00101800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12" w:name="sub_1098"/>
      <w:bookmarkEnd w:id="11"/>
      <w:r>
        <w:rPr>
          <w:rFonts w:ascii="Times New Roman" w:hAnsi="Times New Roman" w:cs="Times New Roman"/>
          <w:sz w:val="28"/>
          <w:szCs w:val="28"/>
        </w:rPr>
        <w:t>9) размещение годового отчета о реализации Программы в государственную автоматизированную информационную систему «Управление» не позднее 1 июня года, следующего за отчетным;</w:t>
      </w:r>
    </w:p>
    <w:p w:rsidR="00D87ABC" w:rsidRDefault="00101800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13" w:name="sub_1099"/>
      <w:bookmarkEnd w:id="12"/>
      <w:r>
        <w:rPr>
          <w:rFonts w:ascii="Times New Roman" w:hAnsi="Times New Roman" w:cs="Times New Roman"/>
          <w:sz w:val="28"/>
          <w:szCs w:val="28"/>
        </w:rPr>
        <w:t>10) представление по запросу управления экономического развития иной дополнительной (уточненной) информации о ходе реализации Программы.</w:t>
      </w:r>
    </w:p>
    <w:p w:rsidR="00D87ABC" w:rsidRDefault="00101800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14" w:name="sub_1101"/>
      <w:bookmarkEnd w:id="13"/>
      <w:r>
        <w:rPr>
          <w:rFonts w:ascii="Times New Roman" w:hAnsi="Times New Roman" w:cs="Times New Roman"/>
          <w:sz w:val="28"/>
          <w:szCs w:val="28"/>
        </w:rPr>
        <w:t>Ответственный исполнитель, соисполнители и участники Программы несут ответственность за реализацию соответствующих структурных элементов муниципальной программы, выполнение мероприятий (достижение результатов), достижение соответствующих показателей муниципальной программы и ее структурных элементов, а также полноту и достоверность сведений, представляемых для подготовки годового отчета о ходе реализации и об оценке эффективности реализации муниципальной программы.</w:t>
      </w:r>
    </w:p>
    <w:p w:rsidR="00D87ABC" w:rsidRDefault="00101800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Контроль за исполнением Программы и общую координацию реализации программных мероприятий осуществляет заместитель Главы городского округа по социальному развитию.</w:t>
      </w:r>
    </w:p>
    <w:bookmarkEnd w:id="14"/>
    <w:p w:rsidR="00D87ABC" w:rsidRDefault="00D87ABC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D87ABC" w:rsidRDefault="00D87AB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87ABC" w:rsidRDefault="00D87AB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87ABC" w:rsidRDefault="0010180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 w:clear="all"/>
      </w:r>
    </w:p>
    <w:p w:rsidR="00D87ABC" w:rsidRDefault="00D87AB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  <w:sectPr w:rsidR="00D87ABC">
          <w:headerReference w:type="default" r:id="rId9"/>
          <w:pgSz w:w="11906" w:h="16838"/>
          <w:pgMar w:top="1134" w:right="567" w:bottom="1134" w:left="1701" w:header="709" w:footer="709" w:gutter="0"/>
          <w:cols w:space="708"/>
          <w:titlePg/>
          <w:docGrid w:linePitch="360"/>
        </w:sectPr>
      </w:pPr>
    </w:p>
    <w:p w:rsidR="00D87ABC" w:rsidRDefault="00D87ABC">
      <w:pPr>
        <w:ind w:left="10206"/>
        <w:contextualSpacing/>
        <w:jc w:val="right"/>
        <w:rPr>
          <w:rFonts w:ascii="Times New Roman" w:hAnsi="Times New Roman" w:cs="Times New Roman"/>
          <w:sz w:val="24"/>
          <w:szCs w:val="24"/>
        </w:rPr>
      </w:pPr>
      <w:bookmarkStart w:id="15" w:name="_GoBack"/>
      <w:bookmarkEnd w:id="15"/>
    </w:p>
    <w:sectPr w:rsidR="00D87ABC">
      <w:pgSz w:w="16838" w:h="11906" w:orient="landscape"/>
      <w:pgMar w:top="1701" w:right="1134" w:bottom="56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87ABC" w:rsidRDefault="00101800">
      <w:pPr>
        <w:spacing w:after="0" w:line="240" w:lineRule="auto"/>
      </w:pPr>
      <w:r>
        <w:separator/>
      </w:r>
    </w:p>
  </w:endnote>
  <w:endnote w:type="continuationSeparator" w:id="0">
    <w:p w:rsidR="00D87ABC" w:rsidRDefault="0010180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00"/>
    <w:family w:val="auto"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87ABC" w:rsidRDefault="00101800">
      <w:pPr>
        <w:spacing w:after="0" w:line="240" w:lineRule="auto"/>
      </w:pPr>
      <w:r>
        <w:separator/>
      </w:r>
    </w:p>
  </w:footnote>
  <w:footnote w:type="continuationSeparator" w:id="0">
    <w:p w:rsidR="00D87ABC" w:rsidRDefault="0010180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06254188"/>
      <w:docPartObj>
        <w:docPartGallery w:val="Page Numbers (Top of Page)"/>
        <w:docPartUnique/>
      </w:docPartObj>
    </w:sdtPr>
    <w:sdtEndPr/>
    <w:sdtContent>
      <w:p w:rsidR="00D87ABC" w:rsidRDefault="00101800">
        <w:pPr>
          <w:pStyle w:val="a7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1B1D35">
          <w:rPr>
            <w:noProof/>
          </w:rPr>
          <w:t>7</w:t>
        </w:r>
        <w:r>
          <w:fldChar w:fldCharType="end"/>
        </w:r>
      </w:p>
    </w:sdtContent>
  </w:sdt>
  <w:p w:rsidR="00D87ABC" w:rsidRDefault="00D87ABC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507B1F"/>
    <w:multiLevelType w:val="hybridMultilevel"/>
    <w:tmpl w:val="6CF43844"/>
    <w:lvl w:ilvl="0" w:tplc="04190011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05DC6869"/>
    <w:multiLevelType w:val="hybridMultilevel"/>
    <w:tmpl w:val="8B00F13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AC012F"/>
    <w:multiLevelType w:val="hybridMultilevel"/>
    <w:tmpl w:val="4834771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81D044C"/>
    <w:multiLevelType w:val="hybridMultilevel"/>
    <w:tmpl w:val="1B8C2216"/>
    <w:lvl w:ilvl="0" w:tplc="8DC89638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0B0B50BE"/>
    <w:multiLevelType w:val="hybridMultilevel"/>
    <w:tmpl w:val="B928E97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F513DFF"/>
    <w:multiLevelType w:val="hybridMultilevel"/>
    <w:tmpl w:val="3F561038"/>
    <w:lvl w:ilvl="0" w:tplc="AACE330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14BE5FD8"/>
    <w:multiLevelType w:val="hybridMultilevel"/>
    <w:tmpl w:val="51FA488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0010C9C"/>
    <w:multiLevelType w:val="hybridMultilevel"/>
    <w:tmpl w:val="039CE0A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0447776"/>
    <w:multiLevelType w:val="hybridMultilevel"/>
    <w:tmpl w:val="64185E3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0D94F74"/>
    <w:multiLevelType w:val="hybridMultilevel"/>
    <w:tmpl w:val="BEB0E2E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2000F3D"/>
    <w:multiLevelType w:val="hybridMultilevel"/>
    <w:tmpl w:val="8ACA01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3842ED5"/>
    <w:multiLevelType w:val="hybridMultilevel"/>
    <w:tmpl w:val="DE4CCBA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44E70AC"/>
    <w:multiLevelType w:val="multilevel"/>
    <w:tmpl w:val="DE48F08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3" w15:restartNumberingAfterBreak="0">
    <w:nsid w:val="245B0296"/>
    <w:multiLevelType w:val="hybridMultilevel"/>
    <w:tmpl w:val="C83405E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6485E03"/>
    <w:multiLevelType w:val="multilevel"/>
    <w:tmpl w:val="ED38FDB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5" w15:restartNumberingAfterBreak="0">
    <w:nsid w:val="2792363B"/>
    <w:multiLevelType w:val="hybridMultilevel"/>
    <w:tmpl w:val="48A8EBF4"/>
    <w:lvl w:ilvl="0" w:tplc="F0B022AC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6" w15:restartNumberingAfterBreak="0">
    <w:nsid w:val="28102E92"/>
    <w:multiLevelType w:val="multilevel"/>
    <w:tmpl w:val="C9D2159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7" w15:restartNumberingAfterBreak="0">
    <w:nsid w:val="29BC59DB"/>
    <w:multiLevelType w:val="multilevel"/>
    <w:tmpl w:val="AC8043A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8" w15:restartNumberingAfterBreak="0">
    <w:nsid w:val="2AA826D5"/>
    <w:multiLevelType w:val="hybridMultilevel"/>
    <w:tmpl w:val="E0080FA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2E081B16"/>
    <w:multiLevelType w:val="hybridMultilevel"/>
    <w:tmpl w:val="8BF23E46"/>
    <w:lvl w:ilvl="0" w:tplc="D64A6DC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337C5C58"/>
    <w:multiLevelType w:val="multilevel"/>
    <w:tmpl w:val="D93C565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21" w15:restartNumberingAfterBreak="0">
    <w:nsid w:val="345E2D81"/>
    <w:multiLevelType w:val="multilevel"/>
    <w:tmpl w:val="6EE2447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2" w15:restartNumberingAfterBreak="0">
    <w:nsid w:val="360E0051"/>
    <w:multiLevelType w:val="multilevel"/>
    <w:tmpl w:val="2322105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23" w15:restartNumberingAfterBreak="0">
    <w:nsid w:val="38FB31E6"/>
    <w:multiLevelType w:val="hybridMultilevel"/>
    <w:tmpl w:val="180009F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C345FA0"/>
    <w:multiLevelType w:val="hybridMultilevel"/>
    <w:tmpl w:val="B1A471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2D772AF"/>
    <w:multiLevelType w:val="hybridMultilevel"/>
    <w:tmpl w:val="F62C9F9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2DF386F"/>
    <w:multiLevelType w:val="hybridMultilevel"/>
    <w:tmpl w:val="54628D36"/>
    <w:lvl w:ilvl="0" w:tplc="8DC89638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7" w15:restartNumberingAfterBreak="0">
    <w:nsid w:val="4C7B46C2"/>
    <w:multiLevelType w:val="hybridMultilevel"/>
    <w:tmpl w:val="A842821C"/>
    <w:lvl w:ilvl="0" w:tplc="45FAE044">
      <w:start w:val="1"/>
      <w:numFmt w:val="upperRoman"/>
      <w:lvlText w:val="%1."/>
      <w:lvlJc w:val="left"/>
      <w:pPr>
        <w:ind w:left="1080" w:hanging="72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FD4514E"/>
    <w:multiLevelType w:val="hybridMultilevel"/>
    <w:tmpl w:val="AF0CDCB0"/>
    <w:lvl w:ilvl="0" w:tplc="4CCA6F3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 w15:restartNumberingAfterBreak="0">
    <w:nsid w:val="524D2B8A"/>
    <w:multiLevelType w:val="hybridMultilevel"/>
    <w:tmpl w:val="192621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35C3CAC"/>
    <w:multiLevelType w:val="hybridMultilevel"/>
    <w:tmpl w:val="8D60074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D8A4C81"/>
    <w:multiLevelType w:val="hybridMultilevel"/>
    <w:tmpl w:val="69042872"/>
    <w:lvl w:ilvl="0" w:tplc="3E8A975E">
      <w:start w:val="1"/>
      <w:numFmt w:val="bullet"/>
      <w:lvlText w:val=""/>
      <w:lvlJc w:val="left"/>
      <w:pPr>
        <w:ind w:left="108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2" w15:restartNumberingAfterBreak="0">
    <w:nsid w:val="5D9D2CF5"/>
    <w:multiLevelType w:val="hybridMultilevel"/>
    <w:tmpl w:val="D29A019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E9B378D"/>
    <w:multiLevelType w:val="hybridMultilevel"/>
    <w:tmpl w:val="D16A5DF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F337378"/>
    <w:multiLevelType w:val="hybridMultilevel"/>
    <w:tmpl w:val="4260EA8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FF61CE0"/>
    <w:multiLevelType w:val="hybridMultilevel"/>
    <w:tmpl w:val="F554312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0171770"/>
    <w:multiLevelType w:val="hybridMultilevel"/>
    <w:tmpl w:val="B14082F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39A5B91"/>
    <w:multiLevelType w:val="multilevel"/>
    <w:tmpl w:val="1AA207F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38" w15:restartNumberingAfterBreak="0">
    <w:nsid w:val="66260BE4"/>
    <w:multiLevelType w:val="hybridMultilevel"/>
    <w:tmpl w:val="C1A8D1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C7D4B1F"/>
    <w:multiLevelType w:val="hybridMultilevel"/>
    <w:tmpl w:val="6266523A"/>
    <w:lvl w:ilvl="0" w:tplc="0704988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0" w15:restartNumberingAfterBreak="0">
    <w:nsid w:val="6EB156C5"/>
    <w:multiLevelType w:val="multilevel"/>
    <w:tmpl w:val="03FA001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41" w15:restartNumberingAfterBreak="0">
    <w:nsid w:val="70AC4CDA"/>
    <w:multiLevelType w:val="multilevel"/>
    <w:tmpl w:val="7A78D13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42" w15:restartNumberingAfterBreak="0">
    <w:nsid w:val="75F62E5F"/>
    <w:multiLevelType w:val="hybridMultilevel"/>
    <w:tmpl w:val="760E6E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6E75600"/>
    <w:multiLevelType w:val="hybridMultilevel"/>
    <w:tmpl w:val="F00A409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79952D94"/>
    <w:multiLevelType w:val="hybridMultilevel"/>
    <w:tmpl w:val="A65E1256"/>
    <w:lvl w:ilvl="0" w:tplc="889EC01A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5" w15:restartNumberingAfterBreak="0">
    <w:nsid w:val="7EDB6BB5"/>
    <w:multiLevelType w:val="hybridMultilevel"/>
    <w:tmpl w:val="8ECE194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7"/>
  </w:num>
  <w:num w:numId="2">
    <w:abstractNumId w:val="39"/>
  </w:num>
  <w:num w:numId="3">
    <w:abstractNumId w:val="0"/>
  </w:num>
  <w:num w:numId="4">
    <w:abstractNumId w:val="40"/>
  </w:num>
  <w:num w:numId="5">
    <w:abstractNumId w:val="17"/>
  </w:num>
  <w:num w:numId="6">
    <w:abstractNumId w:val="37"/>
  </w:num>
  <w:num w:numId="7">
    <w:abstractNumId w:val="20"/>
  </w:num>
  <w:num w:numId="8">
    <w:abstractNumId w:val="22"/>
  </w:num>
  <w:num w:numId="9">
    <w:abstractNumId w:val="28"/>
  </w:num>
  <w:num w:numId="10">
    <w:abstractNumId w:val="15"/>
  </w:num>
  <w:num w:numId="11">
    <w:abstractNumId w:val="44"/>
  </w:num>
  <w:num w:numId="12">
    <w:abstractNumId w:val="26"/>
  </w:num>
  <w:num w:numId="13">
    <w:abstractNumId w:val="3"/>
  </w:num>
  <w:num w:numId="14">
    <w:abstractNumId w:val="6"/>
  </w:num>
  <w:num w:numId="15">
    <w:abstractNumId w:val="1"/>
  </w:num>
  <w:num w:numId="16">
    <w:abstractNumId w:val="10"/>
  </w:num>
  <w:num w:numId="17">
    <w:abstractNumId w:val="35"/>
  </w:num>
  <w:num w:numId="18">
    <w:abstractNumId w:val="5"/>
  </w:num>
  <w:num w:numId="19">
    <w:abstractNumId w:val="30"/>
  </w:num>
  <w:num w:numId="20">
    <w:abstractNumId w:val="4"/>
  </w:num>
  <w:num w:numId="21">
    <w:abstractNumId w:val="45"/>
  </w:num>
  <w:num w:numId="22">
    <w:abstractNumId w:val="19"/>
  </w:num>
  <w:num w:numId="23">
    <w:abstractNumId w:val="7"/>
  </w:num>
  <w:num w:numId="24">
    <w:abstractNumId w:val="8"/>
  </w:num>
  <w:num w:numId="25">
    <w:abstractNumId w:val="13"/>
  </w:num>
  <w:num w:numId="26">
    <w:abstractNumId w:val="21"/>
  </w:num>
  <w:num w:numId="27">
    <w:abstractNumId w:val="33"/>
  </w:num>
  <w:num w:numId="28">
    <w:abstractNumId w:val="9"/>
  </w:num>
  <w:num w:numId="29">
    <w:abstractNumId w:val="42"/>
  </w:num>
  <w:num w:numId="30">
    <w:abstractNumId w:val="38"/>
  </w:num>
  <w:num w:numId="31">
    <w:abstractNumId w:val="41"/>
  </w:num>
  <w:num w:numId="32">
    <w:abstractNumId w:val="29"/>
  </w:num>
  <w:num w:numId="33">
    <w:abstractNumId w:val="32"/>
  </w:num>
  <w:num w:numId="34">
    <w:abstractNumId w:val="34"/>
  </w:num>
  <w:num w:numId="35">
    <w:abstractNumId w:val="36"/>
  </w:num>
  <w:num w:numId="36">
    <w:abstractNumId w:val="25"/>
  </w:num>
  <w:num w:numId="37">
    <w:abstractNumId w:val="2"/>
  </w:num>
  <w:num w:numId="38">
    <w:abstractNumId w:val="24"/>
  </w:num>
  <w:num w:numId="39">
    <w:abstractNumId w:val="23"/>
  </w:num>
  <w:num w:numId="40">
    <w:abstractNumId w:val="11"/>
  </w:num>
  <w:num w:numId="41">
    <w:abstractNumId w:val="18"/>
  </w:num>
  <w:num w:numId="42">
    <w:abstractNumId w:val="31"/>
  </w:num>
  <w:num w:numId="43">
    <w:abstractNumId w:val="43"/>
  </w:num>
  <w:num w:numId="44">
    <w:abstractNumId w:val="16"/>
  </w:num>
  <w:num w:numId="45">
    <w:abstractNumId w:val="14"/>
  </w:num>
  <w:num w:numId="46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87ABC"/>
    <w:rsid w:val="00101800"/>
    <w:rsid w:val="001B1D35"/>
    <w:rsid w:val="0069753C"/>
    <w:rsid w:val="008372B3"/>
    <w:rsid w:val="00D87AB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0CD282"/>
  <w15:docId w15:val="{37AA33B3-DA10-4E83-B44A-DF54F57F5F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0" w:line="240" w:lineRule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3">
    <w:name w:val="heading 3"/>
    <w:basedOn w:val="a"/>
    <w:next w:val="a"/>
    <w:link w:val="30"/>
    <w:unhideWhenUsed/>
    <w:qFormat/>
    <w:pPr>
      <w:keepNext/>
      <w:spacing w:before="240" w:after="60" w:line="240" w:lineRule="auto"/>
      <w:outlineLvl w:val="2"/>
    </w:pPr>
    <w:rPr>
      <w:rFonts w:ascii="Arial" w:eastAsia="Times New Roman" w:hAnsi="Arial" w:cs="Arial"/>
      <w:b/>
      <w:bCs/>
      <w:sz w:val="26"/>
      <w:szCs w:val="26"/>
      <w:lang w:bidi="he-I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pPr>
      <w:ind w:left="720"/>
      <w:contextualSpacing/>
    </w:pPr>
  </w:style>
  <w:style w:type="paragraph" w:customStyle="1" w:styleId="s1">
    <w:name w:val="s_1"/>
    <w:basedOn w:val="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30">
    <w:name w:val="Заголовок 3 Знак"/>
    <w:basedOn w:val="a0"/>
    <w:link w:val="3"/>
    <w:rPr>
      <w:rFonts w:ascii="Arial" w:eastAsia="Times New Roman" w:hAnsi="Arial" w:cs="Arial"/>
      <w:b/>
      <w:bCs/>
      <w:sz w:val="26"/>
      <w:szCs w:val="26"/>
      <w:lang w:eastAsia="ru-RU" w:bidi="he-IL"/>
    </w:rPr>
  </w:style>
  <w:style w:type="character" w:styleId="a4">
    <w:name w:val="Hyperlink"/>
    <w:basedOn w:val="a0"/>
    <w:uiPriority w:val="99"/>
    <w:unhideWhenUsed/>
    <w:rPr>
      <w:color w:val="0000FF" w:themeColor="hyperlink"/>
      <w:u w:val="single"/>
    </w:rPr>
  </w:style>
  <w:style w:type="paragraph" w:styleId="a5">
    <w:name w:val="Body Text"/>
    <w:basedOn w:val="a"/>
    <w:link w:val="a6"/>
    <w:unhideWhenUsed/>
    <w:pPr>
      <w:spacing w:after="120"/>
    </w:pPr>
  </w:style>
  <w:style w:type="character" w:customStyle="1" w:styleId="a6">
    <w:name w:val="Основной текст Знак"/>
    <w:basedOn w:val="a0"/>
    <w:link w:val="a5"/>
  </w:style>
  <w:style w:type="paragraph" w:customStyle="1" w:styleId="ConsPlusNormal">
    <w:name w:val="ConsPlusNormal"/>
    <w:pPr>
      <w:spacing w:after="0" w:line="240" w:lineRule="auto"/>
    </w:pPr>
    <w:rPr>
      <w:rFonts w:ascii="Times New Roman" w:hAnsi="Times New Roman" w:cs="Times New Roman"/>
      <w:sz w:val="26"/>
      <w:szCs w:val="26"/>
    </w:rPr>
  </w:style>
  <w:style w:type="character" w:customStyle="1" w:styleId="10">
    <w:name w:val="Заголовок 1 Знак"/>
    <w:basedOn w:val="a0"/>
    <w:link w:val="1"/>
    <w:uiPriority w:val="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styleId="a7">
    <w:name w:val="header"/>
    <w:basedOn w:val="a"/>
    <w:link w:val="a8"/>
    <w:uiPriority w:val="99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8">
    <w:name w:val="Верхний колонтитул Знак"/>
    <w:basedOn w:val="a0"/>
    <w:link w:val="a7"/>
    <w:uiPriority w:val="9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pPr>
      <w:spacing w:after="0" w:line="240" w:lineRule="auto"/>
    </w:pPr>
    <w:rPr>
      <w:rFonts w:ascii="Tahoma" w:eastAsia="Times New Roman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eastAsia="Times New Roman" w:hAnsi="Tahoma" w:cs="Tahoma"/>
      <w:sz w:val="16"/>
      <w:szCs w:val="16"/>
      <w:lang w:eastAsia="ru-RU"/>
    </w:rPr>
  </w:style>
  <w:style w:type="paragraph" w:styleId="ab">
    <w:name w:val="footer"/>
    <w:basedOn w:val="a"/>
    <w:link w:val="ac"/>
    <w:uiPriority w:val="99"/>
    <w:unhideWhenUsed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c">
    <w:name w:val="Нижний колонтитул Знак"/>
    <w:basedOn w:val="a0"/>
    <w:link w:val="ab"/>
    <w:uiPriority w:val="9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footnote text"/>
    <w:basedOn w:val="a"/>
    <w:link w:val="ae"/>
    <w:uiPriority w:val="99"/>
    <w:unhideWhenUsed/>
    <w:pPr>
      <w:spacing w:after="160" w:line="259" w:lineRule="auto"/>
    </w:pPr>
    <w:rPr>
      <w:rFonts w:cs="Times New Roman"/>
      <w:sz w:val="20"/>
      <w:szCs w:val="20"/>
    </w:rPr>
  </w:style>
  <w:style w:type="character" w:customStyle="1" w:styleId="ae">
    <w:name w:val="Текст сноски Знак"/>
    <w:basedOn w:val="a0"/>
    <w:link w:val="ad"/>
    <w:uiPriority w:val="99"/>
    <w:rPr>
      <w:rFonts w:eastAsiaTheme="minorEastAsia" w:cs="Times New Roman"/>
      <w:sz w:val="20"/>
      <w:szCs w:val="20"/>
      <w:lang w:eastAsia="ru-RU"/>
    </w:rPr>
  </w:style>
  <w:style w:type="character" w:styleId="af">
    <w:name w:val="footnote reference"/>
    <w:basedOn w:val="a0"/>
    <w:uiPriority w:val="99"/>
    <w:unhideWhenUsed/>
    <w:rPr>
      <w:rFonts w:cs="Times New Roman"/>
      <w:vertAlign w:val="superscript"/>
    </w:rPr>
  </w:style>
  <w:style w:type="paragraph" w:customStyle="1" w:styleId="ConsPlusTitle">
    <w:name w:val="ConsPlusTitle"/>
    <w:pPr>
      <w:widowControl w:val="0"/>
      <w:spacing w:after="0" w:line="240" w:lineRule="auto"/>
    </w:pPr>
    <w:rPr>
      <w:rFonts w:ascii="Calibri" w:hAnsi="Calibri" w:cs="Calibri"/>
      <w:b/>
    </w:rPr>
  </w:style>
  <w:style w:type="character" w:customStyle="1" w:styleId="FontStyle26">
    <w:name w:val="Font Style26"/>
    <w:basedOn w:val="a0"/>
    <w:uiPriority w:val="99"/>
    <w:rPr>
      <w:rFonts w:ascii="Times New Roman" w:hAnsi="Times New Roman" w:cs="Times New Roman"/>
      <w:b/>
      <w:bCs/>
      <w:sz w:val="22"/>
      <w:szCs w:val="22"/>
    </w:rPr>
  </w:style>
  <w:style w:type="table" w:styleId="af0">
    <w:name w:val="Table Grid"/>
    <w:basedOn w:val="a1"/>
    <w:uiPriority w:val="5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1">
    <w:name w:val="Нормальный (таблица)"/>
    <w:basedOn w:val="a"/>
    <w:next w:val="a"/>
    <w:uiPriority w:val="99"/>
    <w:pPr>
      <w:widowControl w:val="0"/>
      <w:spacing w:after="0" w:line="240" w:lineRule="auto"/>
      <w:jc w:val="both"/>
    </w:pPr>
    <w:rPr>
      <w:rFonts w:ascii="Times New Roman CYR" w:hAnsi="Times New Roman CYR" w:cs="Times New Roman CYR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internet.garant.ru/document/redirect/408992634/0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internet.garant.ru/document/redirect/408992634/0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Arial"/>
        <a:cs typeface="Arial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2017</Words>
  <Characters>11499</Characters>
  <Application>Microsoft Office Word</Application>
  <DocSecurity>0</DocSecurity>
  <Lines>95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Кирилл А. Стамиков</dc:creator>
  <cp:lastModifiedBy>Протасова Вера Александровна</cp:lastModifiedBy>
  <cp:revision>3</cp:revision>
  <cp:lastPrinted>2024-10-10T09:46:00Z</cp:lastPrinted>
  <dcterms:created xsi:type="dcterms:W3CDTF">2026-04-14T06:05:00Z</dcterms:created>
  <dcterms:modified xsi:type="dcterms:W3CDTF">2026-04-14T06:05:00Z</dcterms:modified>
</cp:coreProperties>
</file>