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94325496"/>
      <w:bookmarkEnd w:id="1"/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распоряжением администрации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Копейского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22.11.2024 № 957-р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(в редакции распоряжения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администрации Копейского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городского округа</w:t>
      </w:r>
    </w:p>
    <w:p>
      <w:pPr>
        <w:pStyle w:val="Normal"/>
        <w:tabs>
          <w:tab w:val="clear" w:pos="708"/>
          <w:tab w:val="left" w:pos="388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                     от </w:t>
      </w:r>
      <w:r>
        <w:rPr>
          <w:rFonts w:cs="Times New Roman" w:ascii="Times New Roman" w:hAnsi="Times New Roman"/>
          <w:sz w:val="28"/>
          <w:szCs w:val="28"/>
        </w:rPr>
        <w:t xml:space="preserve">24.02.2026 </w:t>
      </w:r>
      <w:r>
        <w:rPr>
          <w:rFonts w:cs="Times New Roman" w:ascii="Times New Roman" w:hAnsi="Times New Roman"/>
          <w:sz w:val="28"/>
          <w:szCs w:val="28"/>
        </w:rPr>
        <w:t xml:space="preserve">№ </w:t>
      </w:r>
      <w:r>
        <w:rPr>
          <w:rFonts w:cs="Times New Roman" w:ascii="Times New Roman" w:hAnsi="Times New Roman"/>
          <w:sz w:val="28"/>
          <w:szCs w:val="28"/>
        </w:rPr>
        <w:t>143-р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" w:name="_Hlk194325496"/>
      <w:bookmarkStart w:id="3" w:name="_Hlk194325496"/>
      <w:bookmarkEnd w:id="3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«Развитие муниципальной системы образования Копейского городского округа» (далее – Программа, городской округ)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0"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текущего состояния сферы образования в </w:t>
      </w:r>
      <w:r>
        <w:rPr>
          <w:rFonts w:cs="Times New Roman" w:ascii="Times New Roman" w:hAnsi="Times New Roman"/>
          <w:sz w:val="28"/>
          <w:szCs w:val="28"/>
        </w:rPr>
        <w:t>Копейском городском округе</w:t>
      </w:r>
    </w:p>
    <w:p>
      <w:pPr>
        <w:pStyle w:val="Normal"/>
        <w:spacing w:lineRule="auto" w:line="240" w:before="0"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Копейск – один из крупнейших городов Челябинской области, расположен в Уральском федеральном округе Российской Федерации. Единственный город в области, имеющий высокую награду – Орден Красного Знамени за героизм шахтеров в годы гражданской войны. Численность населения города Копейска к началу 2024 года составила 147 634 человека, в том числе 32 184 ребенка в возрасте до 18 лет.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Уполномоченным органом в сфере образования городского округа является Управление образования администрации городского округа (далее – Управление образования).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системе образования города в 2025 году функционируют                                 56 муниципальных образовательных учреждения, реализующих программы дошкольного, общего и дополнительного образования, подведомственных Управлению образования, в которых обучаются и воспитываются                               27 491 ребенок (в 2022 г. – 27 540 детей, в 2021 г. – 27 517 детей). Общее количество работающих в образовательных учреждениях, подведомственных Управлению образования, составляет 3713 человек, в том числе                                     1825 педагогических работников. Сеть образовательных учреждений города дифференцирована, вариативна и в целом отвечает потребностям жителей нашего города: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дошкольные учреждения – 28;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общеобразовательные учреждения – 22;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специальные коррекционные учреждения – 2;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учреждения дополнительного образования – 4.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Стратегические цели и задачи системы образования определяются в соответствии с действующим федеральным и региональным законодательствами.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Работа Управления образования, образовательных учреждений, подведомственных Управлению образования, направлена на реализацию системы мероприятий, обеспечивающих доступность качественного образования, соответствующего современным потребностям общества и каждого жителя города; создание условий обучения и воспитания детей, отвечающих современным требованиям, достижение индикативных показателей по развитию системы образования на основе эффективного использования бюджетного финансирования.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цели будут решены следующие задачи: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реализация мероприятий государственных и муниципальных программ в сфере образования;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комплексное развитие сети образовательных учреждений для обеспечения доступности, вариативности и качества образования;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создание в образовательных учреждениях условий, соответствующих требованиям, предъявляемым к условиям образовательного процесса;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содействие в формировании доступной образовательной среды для детей с ограниченными возможностями здоровья и детей-инвалидов;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совершенствование механизмов социализации детей и молодежи через систему дополнительного образования детей, организацию отдыха и оздоровления, создание общественных объединений;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повышение социального и общественного статуса воспитания;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обеспечение функционирования системы мониторинга оценки качества образования на муниципальном уровне;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совершенствование финансово-экономических механизмов управления муниципальной системой образования.</w:t>
      </w:r>
    </w:p>
    <w:p>
      <w:pPr>
        <w:pStyle w:val="ConsPlusNormal1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Общее образование.</w:t>
      </w:r>
    </w:p>
    <w:p>
      <w:pPr>
        <w:pStyle w:val="ConsPlusNormal1"/>
        <w:tabs>
          <w:tab w:val="clear" w:pos="708"/>
          <w:tab w:val="left" w:pos="567" w:leader="none"/>
          <w:tab w:val="left" w:pos="709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Для обеспечения прав граждан на образование, решения вопросов непрерывного и дифференцированного обучения в муниципальной сети города Копейска функционирует в статусе юридических лиц 24 общеобразовательных учреждения, из них: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22 общеобразовательных учреждения;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2 общеобразовательных учреждения, осуществляющие образовательную деятельность исключительно по адаптированным основным общеобразовательным программам.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общеобразовательных учреждениях города обучаются 20 436 чел. В одну смену занимаются учащиеся в 5 школах (21,7%), в две смены занимаются 18 школ (78,3%).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городе представлены школы с углубленным изучением отдельных предметов (1 учреждение). Удельный вес численности школьников, углубленно изучающих отдельные предметы, составляет 0,11%.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доступности качественного образования, соответствующего современным потребностям общества, создания условий обучения и воспитания детей с ОВЗ и детей-инвалидов, отвечающих современным требованиям, создана целостная система специального (коррекционного) образования, включающая 2 общеобразовательных учреждения, осуществляющие образовательную деятельность исключительно по адаптированным основным общеобразовательным программам. С 2024 года на базе МОУ «СОШ № 49» функционирует класс для детей с расстройством аутистического спектра. 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Охват обучающихся специальными (коррекционными) образовательными услугами от выявленной потребности составляет 100%: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в 2 специальных (коррекционных) общеобразовательных учреждениях (Школа-интернат №8 и начальная школа – детский сад № 11) обучаются 270 детей с ограниченными возможностями здоровья;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в общеобразовательных классах общеобразовательных учреждений обучаются инклюзивно 1 104 ребенка с ОВЗ, 45 из которых имеют инвалидность.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По ФГОС общего образования для детей с ОВЗ обучаются 1 104 ребенка, что составляет 100% от общей численности обучающихся по адаптированным общеобразовательным программам.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Общая численность детей-инвалидов, обучающихся в общеобразовательных учреждениях в 2023 году, составляет 144 человека.</w:t>
      </w:r>
    </w:p>
    <w:p>
      <w:pPr>
        <w:pStyle w:val="41"/>
        <w:tabs>
          <w:tab w:val="clear" w:pos="708"/>
          <w:tab w:val="left" w:pos="709" w:leader="none"/>
        </w:tabs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Городская психолого-медико-педагогическая комиссия (далее – ПМПК) на базе муниципального учреждения «Центр психолого-педагогической, медицинской и социальной помощи» Копейского городского округа обеспечивает проведение комплексного психолого-медико-педагогического обследования детей в возрасте от 0 до 18 лет, а также оказывает организационную, консультативную и методическую помощь школьным ПМПК.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общеобразовательных учреждений города соответствует нормативным требованиям ресурсного обеспечения учебно-воспитательного процесса, санитарно-эпидемиологическим правилам и нормам, строительным нормам.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100% зданий оборудованы водопроводом, водоотведением и центральным отоплением. Отсутствуют аварийные здания, но имеются здания, требующие капитального ремонта. 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рамках обеспечения пожарной безопасности все 100% зданий оснащены системой автоматической пожарной сигнализации с дублированием сигнала о срабатывании в пожарную часть (без участия персонала), системой оповещения и управления эвакуацией людей при пожаре, аварийным эвакуационным освещением, обеспечены первичными средствами пожаротушения, пожарными кранами и рукавами, предусмотренными проектами зданий.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рамках обеспечения антитеррористической защищенности все 100% зданий общеобразовательных организаций оснащены средствами передачи тревожных сообщений в подразделение ОВО по городу Копейску, системами видеонаблюдения, наружного освещения, бесперебойной и устойчивой телефонной связью с функцией автоматического определения номера.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занятий физической культурой и спортом 100% учреждений оснащены спортивными залами. 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Осуществлению образовательного процесса в школе способствует наличие библиотеки. 100% общеобразовательных учреждений города имеют читальные залы и книгохранилища.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100% учреждений, подключенных к сети Интернет, имеют собственный сайт в сети Интернет и адрес электронной почты.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национального проекта «Образование» («Современная школа») два пункта проведения государственной итоговой аттестации по образовательным программам среднего общего образования оснащаются компьютерной техникой и расходными материалами. 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 реализация мероприятий федерального и регионального уровней по обновлению материально-технической базы образовательных организаций в целях внедрения цифровой образовательной среды (далее – ЦОС). В рамках Национального проекта «Образование», в целях реализации федерального проекта «Цифровая образовательная среда» обновляется материально-техническая база общеобразовательных организаций (компьютерное, мультимедийное, презентационное оборудование).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требования к обеспечению общеобразовательных организаций высокоскоростным Интернет 100% общеобразовательных организаций города, в рамках федерального государственного контракта, подключены к единой сети передачи данных доступа к государственным, муниципальным, иным информационным системам и к информационно-телекоммуникационной сети «Интернет» на скорости 100 Мб/с.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С целью создания условий для поддержки и развития способностей и талантов у детей и молодежи реализуется комплекс мероприятий: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реализуется Календарь городских мероприятий (образовательных событий) для обучающихся; 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2) обеспечено взаимодействие с региональным центром выявления, поддержки и развития способностей и талантов у детей и молодежи Челябинской области «Курчатов Центр»;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обеспечены условия для участия школьников в этапах всероссийской, областной, муниципальной олимпиад школьников;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4) на площадке муниципального опорного центра развития талантливых и одарённых детей Копейского городского округа, размещенного на базе МУ ДПО «Учебно-информационный методический центр» организовано обучение по дополнительным общеобразовательным программам: «История», «Русский язык», «Математика», «Биология».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учреждениях созданы условия для сохранения здоровья обучающихся и профилактики инфекционных заболеваний. Все общеобразовательные учреждения имеют оборудованные медицинские кабинеты, за каждым общеобразовательным учреждением закреплён медицинский работник детской поликлиники, в школах-интернатах медицинское сопровождение осуществляют штатные медицинские сотрудники. Для обучения больных детей, которые по состоянию здоровья не могут посещать образовательные организации, созданы условия для организации их обучения на дому.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 (в редакции Федерального закона от 01.03.2020 №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Федерации") все обучающиеся 1-4 классов с 1 сентября 2020 года получают бесплатное горячее питание (завтрак). Во всех общеобразовательных учреждениях города Копейска, подведомственных управлению образования, создана необходимая инфраструктура, оснащены столовые и буфеты необходимым оборудованием, заключены договоры с организаторами питания ООО «ДИАЛОГПЛЮС», ООО «Доверие плюс», ООО «Школьное питание». образовательные организации (МОУ «СОШ № 13», МОУ школа-интернат № 8, МОУ начальная школа-детский сад № 11, МОУ «Начальная школа-детский сад № 14») занимаются организацией питания самостоятельно.</w:t>
      </w:r>
    </w:p>
    <w:p>
      <w:pPr>
        <w:pStyle w:val="41"/>
        <w:spacing w:lineRule="auto" w:line="240"/>
        <w:ind w:hanging="20" w:left="20" w:right="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Дополнительное образование.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статусе юридических лиц функционируют 4 подведомственных управлению образования учреждения МУДО: ДТД и М, СЮТ, «Радуга», «Улица Мира».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Одной из задач образования является развитие системы технического и научно-технического творчества детей и молодежи, адаптированной к современному уровню развития науки, техники и технологий, учитывающей приоритеты социально-экономической политики города и рассчитанной на все социально-возрастные категории детей и молодежи.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Созданы безопасные условия организации образовательного процесса. Объекты оборудованы: системой автоматической пожарной сигнализации, системой оповещения и управления эвакуацией людей при пожаре, средствами передачи тревожных сообщений в подразделение ОВО по городу Копейску, системами видеонаблюдения, наружного освещения, бесперебойной и устойчивой телефонной связью с функцией автоматического определения номера.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учреждениях дополнительного образования занимаются 6490 детей в возрасте от 5 до 18 лет. Кроме того, дополнительное образование организовано на базе общеобразовательных учреждений с охватом 16024 обучающихся и дошкольных образовательных учреждений c охватом 2542 воспитанников (в целом охват образовательными учреждениями, подведомственными Управлению образования, составляет 89,9% в общей численности детей данной возрастной группы).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Внедрена система персонифицированного финансирования дополнительного образования. На базе МУДПО «Учебно-информационный методический центр» создан муниципальный опорный центр дополнительного образования детей. Дополнительное образование по социальному сертификату в муниципальных учреждениях дополнительного образования, а также в учреждениях частной формы собственности в сфере услуг дополнительного образования получают 1992 детей в возрасте 5-18 лет (9,7% в общей численности детей данной возрастной группы).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целом отмечается положительная динамика охвата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С сентября 2023 года нововведением для обучающихся 6 -11 классов стало внедрение единой модели профориентации – «Профориентационный минимум» (единый универсальный набор профориентационных практик и инструментов для проведения мероприятий по профессиональной ориентации обучающихся). Важной составляющей стала реализация курса занятий «Россия – мои горизонты» в рамках внеурочной деятельности для всех обучающихся 6-11 классов. На базе МОУ «СОШ № 16» открыт губернаторский инженерный класс.</w:t>
      </w:r>
    </w:p>
    <w:p>
      <w:pPr>
        <w:pStyle w:val="41"/>
        <w:widowControl/>
        <w:shd w:val="clear" w:color="auto" w:fill="auto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рамках федерального проекта «Патриотическое воспитание граждан Российской Федерации» национального проекта «Образование» на сегодняшний день в 20 школах работают 30 советников директора по работе с детскими объединениями (количество ставок советников – 12,25).</w:t>
      </w:r>
    </w:p>
    <w:p>
      <w:pPr>
        <w:pStyle w:val="41"/>
        <w:spacing w:lineRule="auto" w:line="240"/>
        <w:ind w:firstLine="709"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проявляют активность во всех мероприятиях общероссийского общественно-государственного движения детей и молодежи «Движение первых» (первичные отделения открыты на базе 20 школ и 1 учреждения дополнительного образования), юнармейского движения (юнармейские отряды – на базе 1 школы, патриотические клубы – на базе 15 школ и 1 учреждения дополнительного образования), кадетского движения (на базе школ №№ 6, 13, 44).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Ежегодно проводится более 100 мероприятий патриотической направленности, увеличивается охват их участников: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– 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 xml:space="preserve">мероприятия, приуроченные к государственным и национальным праздникам Российской Федерации, памятным датам и событиям российской истории и культуры; 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– 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соревнования по техническим и военно-прикладным видам спорта, смотры и конкурсы, популяризующие воинские традиции и элементы начальной военной подготовки;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– 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 xml:space="preserve">мероприятия в рамках Календаря городских мероприятий (образовательных событий) для обучающихся; 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– 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 xml:space="preserve">мероприятия в рамках месячника оборонно-массовой работы для обучающихся образовательных учреждений; 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– 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мероприятия в рамках спартакиада школьников по военно-прикладным видам состязаний «Солдатами не рождаются»;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– </w:t>
      </w: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патриотическая акция «Маршрут памяти».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Перспективы развития системы работы по патриотическому воспитанию связаны с изменением наименование и содержание предмета «ОБЖ» на новый предмет «Основы безопасности и защиты Родины», который в том числе будет включать начальную военную подготовку и основы медицинской подготовки. А также открытием в 2025 году в нашем городе филиала Государственного бюджетного учреждения дополнительного образования «Региональный Центр патриотического воспитания детей и молодежи «Авангард».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В рамках летней кампании для обучающихся города функционируют лагеря с дневным пребыванием детей, организуются туристские походы, оздоровление детей осуществляется в загородном оздоровительно-образовательном лагере «Юность».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Максимально задействован потенциал учреждений дополнительного образования детей в целях обеспечения занятости детей в каникулярный период времени в зеленых зонах городского пространства.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Кроме того, в 2023 году впервые для обучающихся с ОВЗ на базе специальных (коррекционных) учреждений организована летняя оздоровительная кампания.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Все учреждения дополнительного образования, подведомственные Управлению образования, имеют лицензию на образовательную деятельность, свидетельство о государственной аккредитации.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В учреждениях реализуется широкий спектр дополнительных общеобразовательных программ, главной целью которых является удовлетворение индивидуальных потребностей учащихся в интеллектуальном, художественно-эстетическом и нравственном развитии.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Приоритетным направлением деятельности Управления образования остается формирование механизмов, обеспечивающих повышение престижа профессии педагога, кадровую устойчивость отрасли образования.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сложившихся условиях повышение престижа педагогической профессии возможно обеспечить путем повышения оплаты труда. Эта задача решается в рамках реализации мероприятий, направленных на выполнение указов Президента Российской Федерации от 07.05.2012 № 597 «О мероприятиях по реализации государственной социальной политики», от 07.05.2012 </w:t>
      </w:r>
      <w:hyperlink r:id="rId2" w:tooltip="consultantplus://offline/ref=0C2561A0BFB3185078583B1136596FB2EFDF2B65E80BA10139B6442944978918315A5137863E92302648E76B2DB5G3G">
        <w:r>
          <w:rPr>
            <w:rStyle w:val="Style"/>
            <w:rFonts w:cs="Times New Roman" w:ascii="Times New Roman" w:hAnsi="Times New Roman"/>
            <w:sz w:val="28"/>
            <w:szCs w:val="28"/>
          </w:rPr>
          <w:t>№ 599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мерах по реализации государственной политики в области образования и науки».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Приток в систему образования молодых специалистов практически стабилен. В условиях динамично меняющегося отраслевого правового пространства актуальным остается вопрос повышения квалификации работников системы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 большую популярность среди педагогов приобретают: дистанционные, очно-дистанционные курсы, обучение на стажировочных площадках, которые позволяют педагогам получать образовательные услуги в удобные для них сроки и по актуальным для них темам.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Полноценное обеспечение образовательного процесса невозможно при отсутствии развитой финансовой, материально-технической и информационной базы. Работа в данном направлении проводится в рамках программных мероприятий по обеспечению функционирования органов управления образованием.</w:t>
      </w:r>
    </w:p>
    <w:p>
      <w:pPr>
        <w:pStyle w:val="ConsPlusNormal1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11"/>
        <w:numPr>
          <w:ilvl w:val="0"/>
          <w:numId w:val="3"/>
        </w:numPr>
        <w:ind w:hanging="0" w:left="0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 xml:space="preserve">Описание приоритетов и целей муниципальной политики в сфере реализации Программы (в том числе в соответствии со Стратегией </w:t>
      </w:r>
    </w:p>
    <w:p>
      <w:pPr>
        <w:pStyle w:val="11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>социально-экономического развития Копейского городского округа</w:t>
      </w:r>
    </w:p>
    <w:p>
      <w:pPr>
        <w:pStyle w:val="11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>на период до 2035 года)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Приоритеты и цели муниципальной политики в сфере образования определены исходя из приоритетов и целей государственной политики в сфере образования и соответствуют национальным целям развития Российской Федерации, определенных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года», и целям Стратегии социально-экономического развития Копейского городского округа на период до 2035 года и направлены на решение стратегической задачи: повышение уровня и качества жизни населения городского округа.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содержит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города, достижение приоритетов и целей социально-экономического развития, определенных в Стратегии социально-экономического развития Копейского городского округа на период до 2035 года, прогнозе социально-экономического развития Копейского городского округа, бюджетном прогнозе города на долгосрочный период.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муниципальной политики в сфере образования на территории города обеспечивается в соответствии  с  национальным   проектом «Молодежь и дети», Стратегией социально-экономического развития Копейского городского округа на период до 2035 года и направлена на предоставление доступного качественного образования при эффективном использовании имеющихся ресурсов с учетом приоритетов социально-экономического развития города.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1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>III. Сведения о взаимоувязке со стратегическими приоритетами, целями и показателями государственных программ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Цели, показатели настоящей Программы соответствуют государственным программам: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«Развитие образования в Челябинской области», утвержденной постановлением Правительства Челябинской области от 28.12.2017 № 732-П. 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Программы способствует достижению следующих целей: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Челябинской области;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развитие в Челябинской области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«Профилактика безнадзорности и правонарушений несовершеннолетних в Челябинской области»,</w:t>
      </w:r>
      <w:r>
        <w:rPr>
          <w:rFonts w:cs="Times New Roman" w:ascii="Times New Roman" w:hAnsi="Times New Roman"/>
          <w:sz w:val="28"/>
          <w:szCs w:val="28"/>
        </w:rPr>
        <w:t xml:space="preserve"> утвержденной постановлением Правительства Челябинской области от 27.01.2023 № 49-П. Реализация Программы способствует достижению следующей цели: создание условий для эффективного развития системы профилактики безнадзорности и правонарушений несовершеннолетних в Челябинской области.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мероприятий Программы влияет на достижение целей национального проекта «Молодежь и дети», региональных проектов «Все лучшее детям», «Педагоги и наставники».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1"/>
        <w:rPr>
          <w:b w:val="false"/>
          <w:bCs/>
          <w:sz w:val="28"/>
          <w:szCs w:val="28"/>
        </w:rPr>
      </w:pPr>
      <w:r>
        <w:rPr>
          <w:b w:val="false"/>
          <w:bCs/>
          <w:sz w:val="28"/>
          <w:szCs w:val="28"/>
        </w:rPr>
        <w:t>IV. 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Программы является Управление образования.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Управление образования: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организует реализацию Программы и несет ответственность за достижение целевых индикаторов и показателей Программы, конечных результатов ее реализации, а также за эффективное использование бюджетных средств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уточняет с учетом выделяемых на реализацию Программы финансовых средств целевые индикаторы и показатели ожидаемых результатов реализации мероприятий Программы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координирует деятельность соисполнителей Программы в части подготовки отчетности о реализации Программы и комплексной оценки эффективности реализации Программы;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подготавливает годовой отчет о ходе реализации и об оценке эффективности реализации Программы и предоставляет его в управление экономического развития администрации городского округа;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выполняет иные функции.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Соисполнители Программы: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обеспечивают согласование проекта Программы в части структурных элементов, в реализации которых предполагается их участие;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обеспечивают реализацию включенных в Программу проектов и комплексов процессных мероприятий;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представляют ответственному исполнителю информацию, необходимую для подготовки ответов на запросы по вопросам реализации Программы;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представляют ответственному исполнителю информацию, необходимую для подготовки годового отчета о ходе реализации и об оценке эффективности реализации Программы;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выполняют иные функции.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Внесение изменений в Программу осуществляется в порядке, установленном правовыми актами администрации городского округа.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Ответственный исполнитель Программы несет ответственность за своевременное и качественное выполнение мероприятий Программы, достижение установленных индикативных показателей Программы.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состоит из: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 паспорта муниципальной программы,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 паспортов региональных проектов,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паспортов комплексов процессных мероприятий;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 финансового обеспечения реализации муниципальной программы за счет всех источников финансирования;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 методики расчета и источники информации о значениях целевых показателей муниципальной программы, показателей структурных элементов.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709" w:top="1134" w:footer="0" w:bottom="851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к муниципальной программе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 xml:space="preserve"> </w:t>
      </w: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ПАСПОРТ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муниципальной программы</w:t>
      </w:r>
    </w:p>
    <w:p>
      <w:pPr>
        <w:pStyle w:val="Normal"/>
        <w:tabs>
          <w:tab w:val="clear" w:pos="708"/>
          <w:tab w:val="left" w:pos="2565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 xml:space="preserve">         </w:t>
      </w: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«Развитие муниципальной системы образования</w:t>
      </w:r>
    </w:p>
    <w:p>
      <w:pPr>
        <w:pStyle w:val="Normal"/>
        <w:tabs>
          <w:tab w:val="clear" w:pos="708"/>
          <w:tab w:val="left" w:pos="2565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 xml:space="preserve">           </w:t>
      </w: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Копейского городского округа»</w:t>
      </w:r>
    </w:p>
    <w:p>
      <w:pPr>
        <w:pStyle w:val="Normal"/>
        <w:tabs>
          <w:tab w:val="clear" w:pos="708"/>
          <w:tab w:val="left" w:pos="2565" w:leader="none"/>
        </w:tabs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1. 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571"/>
        <w:gridCol w:w="4543"/>
        <w:gridCol w:w="5456"/>
      </w:tblGrid>
      <w:tr>
        <w:trPr>
          <w:trHeight w:val="371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Ангеловский Алексей Анатольевич, заместитель Главы городского округа по социальному развитию</w:t>
            </w:r>
          </w:p>
        </w:tc>
      </w:tr>
      <w:tr>
        <w:trPr>
          <w:trHeight w:val="525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64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Управление образования администрации Копейского городского округа (далее – Управление образования администрации)</w:t>
            </w:r>
          </w:p>
        </w:tc>
      </w:tr>
      <w:tr>
        <w:trPr>
          <w:trHeight w:val="235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Муниципальное учреждение Копейского городского округа «Управление строительства»</w:t>
            </w:r>
          </w:p>
        </w:tc>
      </w:tr>
      <w:tr>
        <w:trPr>
          <w:trHeight w:val="229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Образовательные организации, организации дополнительного образования, прочие организации, государственные, муниципальные и общественные организации, влияющие на реализацию государственной политики в сфере образования</w:t>
            </w:r>
          </w:p>
        </w:tc>
      </w:tr>
      <w:tr>
        <w:trPr>
          <w:trHeight w:val="237" w:hRule="atLeast"/>
        </w:trPr>
        <w:tc>
          <w:tcPr>
            <w:tcW w:w="4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Этап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2025-2027 годы</w:t>
            </w:r>
          </w:p>
        </w:tc>
      </w:tr>
      <w:tr>
        <w:trPr>
          <w:trHeight w:val="228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Этап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:2028-2030 годы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Цели/задачи муниципальной программы</w:t>
            </w:r>
          </w:p>
        </w:tc>
        <w:tc>
          <w:tcPr>
            <w:tcW w:w="4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Цель: 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городского округа;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развитие в городском округе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создание условий для эффективного развития системы профилактики безнадзорности и правонарушений несовершеннолетних.</w:t>
            </w:r>
            <w:r>
              <w:rPr>
                <w:rFonts w:eastAsia="Calibri" w:cs="Times New Roman" w:ascii="Times New Roman" w:hAnsi="Times New Roman"/>
                <w:color w:val="000000"/>
                <w:kern w:val="2"/>
                <w:sz w:val="28"/>
                <w14:ligatures w14:val="standardContextual"/>
              </w:rPr>
              <w:t xml:space="preserve"> 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1. Обеспечение реализации мероприятий по модернизации школьных систем образования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2. Повышение качества общего образования  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3. Снижение кадрового дефицита учителей в образовательных организациях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4.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5.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Перевод обучающихся в новые здания общеобразовательных организаций из зданий с износом выше 50 процентов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6. Приведение инфраструктуры общего образования к уровню, соответствующему современным стандартам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7. 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8. Реализация комплекса мер по обеспечению безопасного функционирования образовательных организаций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9. Обеспечение качественной подготовки муниципальных образовательных организаций к началу учебного года по всем направлениям деятельности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10. Создание условий по поддержке одаренных детей и талантливой молодежи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11. Создание условий по формированию здоровьесберегающих условий и безопасных условий организации образовательного процесса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12. Создание условий по охране здоровья работников образовательных организаций  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13. 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14. Повышение доступности общего и дополнительного образования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15.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Повышение доступности образования для лиц с ограниченными возможностями здоровья  </w:t>
            </w:r>
          </w:p>
        </w:tc>
      </w:tr>
      <w:tr>
        <w:trPr>
          <w:trHeight w:val="222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Задача 16.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Поддержка и развитие профессиональной компетентности педагогических работников</w:t>
            </w:r>
          </w:p>
        </w:tc>
      </w:tr>
      <w:tr>
        <w:trPr>
          <w:trHeight w:val="2494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17. 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>
        <w:trPr>
          <w:trHeight w:val="146" w:hRule="atLeast"/>
        </w:trPr>
        <w:tc>
          <w:tcPr>
            <w:tcW w:w="45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18. Создание условий для эффективной деятельности подведомственных организаций  </w:t>
            </w:r>
          </w:p>
        </w:tc>
      </w:tr>
      <w:tr>
        <w:trPr>
          <w:trHeight w:val="561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Подпрограммы 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>
        <w:trPr>
          <w:trHeight w:val="461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11 104 677,7</w:t>
            </w:r>
          </w:p>
        </w:tc>
      </w:tr>
      <w:tr>
        <w:trPr>
          <w:trHeight w:val="697" w:hRule="atLeast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Национальной проект «Молодежь и дети», региональные проекты «Все лучшее детям», «Педагоги и наставники».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Государственная программа Челябинской области «Развитие образования в Челябинской области», Государственная программа Челябинской области «Профилактика безнадзорности и правонарушений несовершеннолетних в Челябинской области»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2. Показатели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72"/>
        <w:gridCol w:w="4075"/>
        <w:gridCol w:w="1224"/>
        <w:gridCol w:w="890"/>
        <w:gridCol w:w="921"/>
        <w:gridCol w:w="1050"/>
        <w:gridCol w:w="920"/>
        <w:gridCol w:w="923"/>
        <w:gridCol w:w="924"/>
        <w:gridCol w:w="927"/>
        <w:gridCol w:w="1942"/>
      </w:tblGrid>
      <w:tr>
        <w:trPr>
          <w:trHeight w:val="305" w:hRule="atLeast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  <w:t>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12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2030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Цель муниципальной программы - 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городского округа;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развитие в городском округе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создание условий для эффективного развития системы профилактики безнадзорности и правонарушений несовершеннолетних.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 Задача «Обеспечение реализации мероприятий по модернизации школьных систем образования»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выполненных работ по благоустройству территории капитально отремонтированных зданий общеобразовательных организаций, в общем количестве работ по благоустройству территории капитально отремонтированных зданий общеобразовательных организаций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по привлечению обучающихся, учителей и родителей обучающихся к обсуждению дизайнерских и иных решений в рамках подготовки к проведению и приемке ремонтных работ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</w:rPr>
              <w:t>единиц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объектов, в которых в полном объеме выполнены мероприятия по обеспечению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</w:rPr>
              <w:t>единиц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/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417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1.2. Задача «Повышение качества общего образования» 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зданий муниципальных общеобразовательных организаций, в которых проведены ремонтные работы по замене оконных блоков, в общем количестве зданий муниципальных общеобразовательных организаций, требующих проведения ремонтных работ по замене оконных блоков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20,2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29,0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оконных блоков, замененных в рамках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</w:t>
            </w:r>
            <w:r>
              <w:rPr/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«Снижение кадрового дефицита учителей в общеобразовательных организациях»  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педагогических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 Задача «О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беспечение односменного режима обучения в 1-11(12) классах общеобразовательных организаций, расположенных на территории городского округа»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новых мест в общеобразовательных организациях, расположенных на территории городского округа, в том числе введенных путем строительства объектов инфраструктуры общего образования всего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Удельный вес численности обучающихся, занимающихся в первую смену в общеобразовательных организациях, расположенных на территории городского округа,  в общей численности обучающихся в общеобразовательных организациях, расположенных  на территории городского округа, в том числе: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образования;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66,4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68,0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68,0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68,0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68,0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68,0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68,0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 Задача «Перевод обучающихся в новые здания общеобразовательных организаций из зданий с износом выше 50 процентов»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95,6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97,6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97,6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97,6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97,6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97,6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97,6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393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1.6.  Задача «Приведение инфраструктуры общего образования к уровню, соответствующему современным стандартам» 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требованиями (с учетом федеральных государственных образовательных стандартов), в общей численности обучающихся в муниципальных общеобразовательных организациях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обучающихся, проживающих в населенных пунктах, расположенных на расстоянии более двух километров от образовательной организации и обеспеченных транспортными средствами для организации их перевозки, в общем количестве обучающихся, проживающих в населенных пунктах, расположенных на расстоянии более двух километров от образовательной организации 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обновленной материально-технической базы организаций дополнительного образования, реализующих дополнительные образовательные программы технической и естественнонаучной направленностей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1.7. Задача «Обеспечение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округа»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экзаменов государственной итоговой аттестации по образовательным программам среднего общего образования, проведенных в муниципальном образовании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Рособрнадзора от 4 апреля 2023 года № 233/552 «Об утверждении Порядка проведения  государственной итоговой аттестации по образовательным программам среднего общего образования», в общем количестве проведенных в муниципальном образовании экзаменов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84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экзаменов государственной итоговой аттестации по образовательным программам основного общего образования, проведенных в муниципальном образовании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РФ и Федеральной службы по надзору в сфере образования и науки от 04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образования», в общем количестве проведенных в муниципальном образовании экзаменов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  Задача «Реализация комплекса мер по обеспечению безопасного функционирования образовательных организаций»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образовательных организаций, соответствующих требованиям противопожарной безопасности, в общей численности образовательных организаций  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организаций, соответствующих требованиям антитеррористической безопасности, в общей численности образовательных организаций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организаций, реализующих программы дошкольного образования, начального общего, основного общего, среднего общего образования, дополнительные общеобразовательные программы, которые в соответствии с требованиями к антитеррористической защищенности оснащены оборудованием объекты (территории) следующими системами (конструкциями) (процентов):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видеонаблюдения со сроком хранения информации 30 дней;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контроля и управления доступом;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2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2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инженерно-технической укрепленности периметра объекта (территории) – ограждение;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92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92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 охранной сигнализацией; 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-видеонаблюдения, охранной сигнализации и средствами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 в помещениях, расположенных на первом этаже для охраны;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воротами, обеспечивающими жесткую фиксацию их створок в закрытом положении;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контрольно-пропускных пунктов при входе (въезде) на прилегающую территорию объекта (территории);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 въездов на объект (территорию) средствами снижения скорости и (или) противотаранными устройствами; 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и поддержание их в исправном состоянии;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80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наружного освещения;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оборудования основных входов в здания, входящие в состав объектов (территорий), контрольно-пропускными пунктами (постами охраны) РФ;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 стационарными или ручными металлоискателями 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 Задача «Обеспечение качественной подготовки муниципальных образовательных организаций к началу учебного года по всем направлениям деятельности»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организаций, признанных по итогам проверки готовыми к новому учебному году, в общей численности образовательных организаций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выполненных ремонтов в зданиях муниципальных организаций дополнительного образования в общем количестве зданий муниципальных организаций дополнительного образования, запланированных к проведению ремонта в текущем году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отремонтированных зданий муниципальных организаций дополнительного образования в общем количестве зданий муниципальных организаций дополнительного образования, требующих проведения ремонтов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 Задача «Создание условий по поддержке одаренных детей и талантливой молодежи»</w:t>
            </w:r>
          </w:p>
        </w:tc>
      </w:tr>
      <w:tr>
        <w:trPr>
          <w:trHeight w:val="299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обучающихся, осваивающих программы общего образования, принявших участие в олимпиадах различного уровня, в общей численности обучающихся, осваивающих программы общего образования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8,1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обучающихся, осваивающих программы общего образования, принявших участие в конкурсах различного уровня, в общей численности обучающихся, осваивающих программы общего образования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38,5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 Задача «Создание условий по формированию здоровьесберегающих условий и безопасных условий организации образовательного процесса»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 первой и второй групп здоровья в общей численности обучающихся общеобразовательных организаций, в общей численности обучающихся общеобразовательных организаций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85,9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использованной муниципальным образованием субсидии местному бюджету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организациях, в общем размере субсидии местному бюджету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организациях, перечисленной муниципальному образованию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обучающихся, обеспеченных питанием, в общем количестве обучающихся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детей, охваченных отдыхом в каникулярное время в организациях отдыха и оздоровления детей, в общем числе детей, охваченных отдыхом в организациях отдыха и оздоровления детей всех типов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1,22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детей, охваченных отдыхом в каникулярное время в лагерях с дневным пребыванием детей, в общей численности детей, охваченных отдыхом в организациях отдыха детей и их оздоровления всех типов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2,7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2,7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1.11.6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обучающихся муниципальных образовательных организаций по программам начального общего образования, обеспеченных бесплатным горячим питанием, в общем количестве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1.11.7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обучающихся муниципальных общеобразовательных организаций по программам начального общего образования, обеспеченных молоком (молочной продукцией)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1.11.8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обучающихся, которым организованы физкультурно-оздоровительные мероприятия (плавание)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человек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1200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1.12. Задача «Создание условий по охране здоровья работников образовательных организаций»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1.12.1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работников образовательных организаций, охваченных ежегодными обязательными предварительными и периодическими медицинскими осмотрами (обследованиями), в общем числе работников образовательных организаций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1.12.2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1.13. Задача «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1.13.1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обучающихся в возрасте от 14 до 18 лет общеобразовательных организаций, охваченных малозатратными формами летней занятости (полевые лагеря, походы, экспедиции), от общего количества обучающихся общеобразовательных организаций в возрасте от 14 до 18 лет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1.13.2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несовершеннолетних, состоящих на профилактическом учете в органах внутренних дел, охваченных отдыхом в каникулярное время в организациях отдыха и оздоровления детей, лагерях с дневным пребыванием детей, в общем числе несовершеннолетних, состоящих на профилактическом учете в органах внутренних дел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22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1.13.3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несовершеннолетних, состоящих на учете в органах внутренних дел, принявших участие в профильных сменах, от общего числа несовершеннолетних, состоящих на учете в органах внутренних дел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1.13.4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муниципальных образовательных организаций, реализующих программы общего, дошкольного и дополнительного образования, имеющих  в соответствии с требованиями к антитеррористической защищенности 1,2 категории опасности, обеспеченных  квалифицированной охраной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1.14. Задача «Повышение доступности общего и дополнительного образования»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1.14.1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Увеличение доли детей в возрасте от 5 до 18 лет, занимающихся в системе дополнительного образования муниципального образования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1.14.2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Участие обучающихся в муниципальных, региональных, всероссийских и международных мероприятиях различной направленности, в которых примут участие обучающиеся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1.14.3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67,0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72,0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77,0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82,0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87,0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93,0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100,0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1.14.4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1.15. Задача «Повышение доступности образования для лиц с ограниченными возможностями здоровья»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1.16. Задача «Поддержка и развитие профессиональной компетентности педагогических работников»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1.16.1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педагогических работников, принявших участие в профессиональных конкурсах различного уровня, в общей численности педагогических работников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1.16.2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1.17. Задача «Обеспечение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 в возрасте от 5 до 18 лет, использующих сертификаты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дополнительного образования детей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35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1.18. Задача «Создание условий для эффективной деятельности подведомственных организаций»</w:t>
            </w:r>
          </w:p>
          <w:p>
            <w:pPr>
              <w:pStyle w:val="Normal"/>
              <w:spacing w:lineRule="auto" w:line="240" w:before="0" w:after="0"/>
              <w:ind w:left="12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8" w:hRule="atLeast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Исполнение муниципального задания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kern w:val="2"/>
          <w:sz w:val="28"/>
          <w14:ligatures w14:val="standardContextual"/>
        </w:rPr>
      </w:pPr>
      <w:r>
        <w:rPr>
          <w:rFonts w:eastAsia="Calibri" w:cs="Times New Roman" w:ascii="Times New Roman" w:hAnsi="Times New Roman"/>
          <w:kern w:val="2"/>
          <w:sz w:val="28"/>
          <w14:ligatures w14:val="standardContextual"/>
        </w:rPr>
        <w:t>3. План достижения показателей муниципальной программы в 2026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648"/>
        <w:gridCol w:w="5904"/>
        <w:gridCol w:w="1175"/>
        <w:gridCol w:w="652"/>
        <w:gridCol w:w="438"/>
        <w:gridCol w:w="512"/>
        <w:gridCol w:w="520"/>
        <w:gridCol w:w="521"/>
        <w:gridCol w:w="525"/>
        <w:gridCol w:w="527"/>
        <w:gridCol w:w="528"/>
        <w:gridCol w:w="524"/>
        <w:gridCol w:w="528"/>
        <w:gridCol w:w="521"/>
        <w:gridCol w:w="1047"/>
      </w:tblGrid>
      <w:tr>
        <w:trPr>
          <w:tblHeader w:val="true"/>
          <w:trHeight w:val="300" w:hRule="atLeast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Показатели муниципальной программы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7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Плановые значения по </w:t>
            </w:r>
          </w:p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кварталам / месяцам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конец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года</w:t>
            </w:r>
          </w:p>
        </w:tc>
      </w:tr>
      <w:tr>
        <w:trPr>
          <w:tblHeader w:val="true"/>
          <w:trHeight w:val="177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blHeader w:val="true"/>
          <w:trHeight w:val="164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67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Показатели проектной части муниципальной программы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«Все лучшее детям»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выполненных работ по благоустройству территории капитально отремонтированных зданий общеобразовательных организаций, в общем количестве работ по благоустройству территории капитально отремонтированных зданий общеобразовательных организаций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по привлечению обучающихся, учителей и родителей обучающихся к обсуждению дизайнерских и иных решений в рамках подготовки к проведению и приемке ремонтных работ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</w:rPr>
              <w:t>единиц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объектов, в которых в полном объеме выполнены мероприятия по обеспечению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</w:rPr>
              <w:t>единиц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зданий муниципальных общеобразовательных организаций, в которых проведены ремонтные работы по замене оконных блоков, в общем количестве зданий муниципальных общеобразовательных организаций, требующих проведения ремонтных работ по замене оконных блоков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оконных блоков, замененных в рамках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Проект «Педагоги и наставники»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педагогических работников (классных руководителей и советников директоров по воспитанию), принимающих участие в мероприятиях, направленных на духовно-нравственное воспитание учащихся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«Содействие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округа»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200"/>
              <w:ind w:left="1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новых мест в общеобразовательных   организациях, расположенных на территории городского округа, в том числе введенных путем строительства объектов инфраструктуры общего образования всего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trHeight w:val="102" w:hRule="atLeast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Удельный вес численности обучающихся, занимающихся в первую смену в общеобразовательных организациях, расположенных на территории городского округа в общей численности обучающихся в общеобразовательных организациях, расположенных на территории городского округа, в том числе: 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>
        <w:trPr>
          <w:trHeight w:val="10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образования;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62,8</w:t>
            </w:r>
          </w:p>
        </w:tc>
      </w:tr>
      <w:tr>
        <w:trPr>
          <w:trHeight w:val="10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образования;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>
        <w:trPr>
          <w:trHeight w:val="10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 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Показатели процессной части муниципальной программы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Комплекс процессных мероприятий «Развитие инфраструктуры муниципальных образовательных организаций» 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требованиями (с учетом федеральных государственных образовательных стандартов), в общей численности обучающихся в муниципальных общеобразовательных организациях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 обучающихся, проживающих в населенных пунктах, расположенных на расстоянии более двух километров от образовательной организации и обеспеченных транспортными средствами для организации их перевозки, в общем количестве обучающихся, проживающих в населенных пунктах, расположенных на расстоянии более двух километров от образовательной организации   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обновленной материально-технической базы организаций дополнительного образования, реализующих дополнительные образовательные программы технической и естественнонаучной направленностей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экзаменов государственной итоговой аттестации по образовательным программам среднего общего образования, проведенных в муниципальном образовании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Рособрнадзора от 4 апреля 2023 года № 233/552 «Об утверждении Порядка проведения  государственной итоговой аттестации по образовательным программам среднего общего образования», в общем количестве проведенных в муниципальном образовании экзаменов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Доля экзаменов государственной итоговой аттестации по образовательным программам основного общего образования, проведенных в муниципальном образовании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РФ и Федеральной службы по надзору в сфере образования и науки от 04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образования», в общем количестве проведенных в муниципальном образовании экзаменов государственной итоговой аттестации по образовательным программам основного общего образования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процессных мероприятий «Обеспечение комплексной безопасности образовательных организаций»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организаций, соответствующих требованиям противопожарной безопасности, в общей численности образовательных организаций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организаций, соответствующих требованиям антитеррористической безопасности, в общей численности образовательных организаций</w:t>
            </w:r>
          </w:p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>
        <w:trPr>
          <w:trHeight w:val="183" w:hRule="atLeast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Доля образовательных организаций, реализующих программы дошкольного образования, начального общего, основного общего, среднего общего образования, дополнительные общеобразовательные программы, которые в соответствии с требованиями к антитеррористической защищенности оснащены оборудованием объекты (территории) следующими системами (конструкциями) (процентов):  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vMerge w:val="restart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  <w14:ligatures w14:val="standardContextual"/>
              </w:rPr>
            </w:r>
          </w:p>
        </w:tc>
      </w:tr>
      <w:tr>
        <w:trPr>
          <w:trHeight w:val="609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520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527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23,3</w:t>
            </w:r>
          </w:p>
        </w:tc>
      </w:tr>
      <w:tr>
        <w:trPr>
          <w:trHeight w:val="183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видеонаблюдения со сроком хранения информации 30 дней;</w:t>
            </w:r>
          </w:p>
        </w:tc>
        <w:tc>
          <w:tcPr>
            <w:tcW w:w="117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520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527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528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87,4</w:t>
            </w:r>
          </w:p>
        </w:tc>
      </w:tr>
      <w:tr>
        <w:trPr>
          <w:trHeight w:val="183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контроля и управления доступом;</w:t>
            </w:r>
          </w:p>
        </w:tc>
        <w:tc>
          <w:tcPr>
            <w:tcW w:w="11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520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527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528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инженерно-технической укрепленности периметра объекта (территории) – ограждение;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52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527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528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>
        <w:trPr>
          <w:trHeight w:val="258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- охранной сигнализацией; 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52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527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23,0</w:t>
            </w:r>
          </w:p>
        </w:tc>
      </w:tr>
      <w:tr>
        <w:trPr>
          <w:trHeight w:val="1845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-видеонаблюдения, охранной сигнализации и средствами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 в помещениях, расположенных на первом этаже для охраны;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2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27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- воротами, обеспечивающими жесткую фиксацию их створок в закрытом положении; 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52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527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25,0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контрольно-пропускных пунктов при входе (въезде) на прилегающую территорию объекта (территории);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- въездов на объект (территорию) средствами снижения скорости и (или) противотаранными устройствами; </w:t>
            </w:r>
          </w:p>
        </w:tc>
        <w:tc>
          <w:tcPr>
            <w:tcW w:w="11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7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8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и поддержание их в исправном состоянии;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vMerge w:val="continue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vMerge w:val="continue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19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наружного освещения;</w:t>
            </w:r>
          </w:p>
        </w:tc>
        <w:tc>
          <w:tcPr>
            <w:tcW w:w="11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tcBorders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520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528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оборудования основных входов в здания, входящие в состав объектов (территорий), контрольно-пропускными пунктами (постами охраны) РФ;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tcBorders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520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528" w:type="dxa"/>
            <w:tcBorders/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51,4</w:t>
            </w:r>
          </w:p>
        </w:tc>
      </w:tr>
      <w:tr>
        <w:trPr>
          <w:trHeight w:val="712" w:hRule="atLeast"/>
        </w:trPr>
        <w:tc>
          <w:tcPr>
            <w:tcW w:w="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ind w:left="126" w:right="137"/>
              <w:jc w:val="both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- стационарными или ручными металлоискателями</w:t>
            </w:r>
          </w:p>
        </w:tc>
        <w:tc>
          <w:tcPr>
            <w:tcW w:w="1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16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43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5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52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62,0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процессных мероприятий «Подготовка подведомственных организаций к новому учебному году»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126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образовательных организаций, признанных по итогам проверки готовыми к новому учебному году, в общей численности образовательных организаций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выполненных ремонтов в зданиях муниципальных организаций дополнительного образования в общем количестве зданий муниципальных организаций дополнительного образования, запланированных к проведению ремонта в текущем году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отремонтированных зданий муниципальных организаций дополнительного образования в общем количестве зданий муниципальных организаций дополнительного образования, требующих проведения ремонтов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процессных мероприятий «Развитие системы поддержки одаренных детей и талантливой молодежи»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обучающихся, осваивающих программы общего образования, принявших участие в олимпиадах различного уровня, в общей численности обучающихся, осваивающих программы общего образования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2.4.2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обучающихся, осваивающих программы общего образования, принявших участие в конкурсах различного уровня, в общей численности обучающихся, осваивающих программы общего образования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Комплекс процессных мероприятий «Формирование здоровьесберегающих условий и безопасных условий организации образовательного процесса» 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детей первой и второй групп здоровья в общей численности обучающихся общеобразовательных организаций, в общей численности обучающихся общеобразовательных организаций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Доля использованной муниципальным образованием субсидии местному бюджету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организациях, в общем размере субсидии местному бюджету на обеспечение питанием детей из малообеспеченных семей и детей с нарушениями здоровья, обучающихся в муниципальных общеобразовательных организациях, перечисленной муниципальному образованию  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обучающихся, обеспеченных питанием, в общем количестве обучающихся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детей, охваченных отдыхом в каникулярное время в организациях отдыха и оздоровления детей, в общем числе детей, охваченных отдыхом в организациях отдыха и оздоровления детей всех типов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1,22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2.5.5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детей, охваченных отдыхом в каникулярное время в лагерях с дневным пребыванием детей, в общей численности детей, охваченных отдыхом в организациях отдыха детей и их оздоровления всех типов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2,7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2.5.6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обучающихся муниципальных образовательных организаций по программам начального общего образования, обеспеченных бесплатным горячим питанием, в общем количестве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2.5.7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обучающихся муниципальных общеобразовательных организаций по программам начального общего образования, обеспеченных молоком (молочной продукцией)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2.5.8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Количество обучающихся, которым организованы физкультурно-оздоровительные мероприятия (плавание)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2.5.9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работников образовательных организаций, охваченных ежегодными обязательными предварительными и периодическими медицинскими осмотрами (обследованиями), в общем числе работников образовательных организаций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2.5.10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процессных мероприятий «Профилактика безнадзорности и правонарушений несовершеннолетних»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обучающихся в возрасте от 14 до 18 лет общеобразовательных организаций, охваченных малозатратными формами летней занятости (полевые лагеря, походы, экспедиции), от общего количества обучающихся общеобразовательных организаций в возрасте от 14 до 18 лет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несовершеннолетних, состоящих на профилактическом учете в органах внутренних дел, охваченных отдыхом в каникулярное время в организациях отдыха и оздоровления детей, лагерях с дневным пребыванием детей, в общем числе несовершеннолетних, состоящих на профилактическом учете в органах внутренних дел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Доля несовершеннолетних, состоящих на учете в органах внутренних дел, принявших участие в профильных сменах, от общего числа несовершеннолетних, состоящих на учете в органах внутренних дел 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муниципальных образовательных организаций, реализующих программы общего, дошкольного и дополнительного образования, имеющих в соответствии с требованиями к антитеррористической защищенности 1,2 категории опасности, обеспеченных квалифицированной охраной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процессных мероприятий «Обеспечение доступного и качественного общего и дополнительного образования»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Увеличение доли детей в возрасте от 5 до 18 лет, занимающихся в системе дополнительного образования муниципального образования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Участие обучающихся в муниципальных, региональных, всероссийских и международных мероприятиях различной направленности, в которых примут участие обучающиеся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2.7.5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2.7.6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педагогических работников, принявших участие в профессиональных конкурсах различного уровня, в общей численности педагогических работников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2.7.7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2.7.8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Доля детей в возрасте от 5 до 18 лет, использующих сертификаты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2.7.9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дополнительного образования детей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39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процессных мероприятий «Организация управления подведомственными учреждениями»</w:t>
            </w:r>
          </w:p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Исполнение муниципального задания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процент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100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Структура муниципальной программы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46"/>
        <w:gridCol w:w="6179"/>
        <w:gridCol w:w="4060"/>
        <w:gridCol w:w="4413"/>
        <w:gridCol w:w="237"/>
      </w:tblGrid>
      <w:tr>
        <w:trPr>
          <w:trHeight w:val="49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Связь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показателями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lang w:eastAsia="ru-RU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343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1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Проект «Все лучшее детям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(куратор – Ангеловский А.А., заместитель Главы городского округа по социальному развитию)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343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(М.Н. Хлынина)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реализации мероприятий по модернизации школьных систем образования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Проведение капитального ремонта и оснащение средствами обучения общеобразовательной организации, создание условий для организации учебного процесса на территориях, прилегающих к зданиям муниципальных общеобразовательных организаций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1.1.1,1.1.2,1.1.3,1.1.4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Повышение качества общего образования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Оснащение предметных кабинетов по учебным предметам «Труд (Технология) и «Основы безопасности и защиты Родины», замена оконных блоков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1.2.1,1.2.2,1.2.3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 Проект «Педагоги и наставники»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(куратор – Ангеловский А.А., заместитель Главы городского округа по социальному развитию)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Снижение кадрового дефицита учителей в общеобразовательных организациях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Ежемесячное осуществление выплат классным руководителям и советникам директора по воспитанию и взаимодействию с детскими общественными объединениями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1.3.1,1.3.2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 Проект «Содействие созданию в Копейском городском округе (исходя из прогнозируемой потребности) новых мест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общеобразовательных организациях Копейского городского округа»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(куратор – Рукавишников А.Ю., заместитель Главы  городского округа по имуществу, градостроительству и жилищной политике) 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строительства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(Разинкин М.В.)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Строительство школы на 500 мест по адресу: ул. Северная, на 1000 мест по адресу: г. Копейск, 21 микрорайон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Показатель.1.4.1,1.4.2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перевод обучающихся в новые здания общеобразовательных организаций из зданий с износом выше 50 процентов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Показатель.1.5.1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 Комплекс процессных мероприятий «Развитие инфраструктуры муниципальных образовательных организаций»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(М.Н. Хлынина)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Приведение инфраструктуры общего образования к уровню, соответствующему современным стандартам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Обновление инфраструктуры муниципальных образовательных организаций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1.6.1,1.6.2,1.6.3,1.6.4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Приобретение оборудования, оргтехники, канцтоваров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1.7.1,1.7.2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15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 Комплекс процессных мероприятий «Обеспечение комплексной безопасности образовательных организаций»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295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lineRule="auto" w:line="259" w:before="0" w:after="160"/>
              <w:rPr>
                <w:rFonts w:ascii="Times New Roman" w:hAnsi="Times New Roman" w:eastAsia="Calibri" w:cs="Times New Roman"/>
                <w:kern w:val="2"/>
                <w:sz w:val="28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14:ligatures w14:val="standardContextual"/>
              </w:rPr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комплекса мер по обеспечению безопасного функционирования образовательных организаций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Своевременное проведение антитеррористических и противопожарных мероприятий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1.8.1,1.8.2,1.8.3,1.8.4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  Комплекс процессных мероприятий ««Подготовка подведомственных организаций к новому учебному году»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49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качественной подготовки муниципальных образовательных организаций к началу учебного года по всем направлениям деятельности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Проведение ремонтных работ, необходимых мероприятий по подготовке к новому учебному году в соответствии с планом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1.9.1,1.9.2,1.9.3,1.9.4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1.7. Комплекс процессных мероприятий «Развитие системы поддержки одаренных детей и талантливой молодежи»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1.7.1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Создание условий по поддержке одаренных детей и талантливой молодежи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проведения муниципальных мероприятий и обеспечения участия школьников в мероприятиях регионального, российского и международного уровней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1.10.1,1.10.2,1.10.3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1.8. Комплекс процессных мероприятий «Формирование здоровьесберегающих условий и безопасных условий организации образовательного процесса» 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Создание условий по формированию здоровьесберегающих условий и безопасных условий организации образовательного процесса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условий по формированию здоровьесберегающих и безопасных условий образовательного процесса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1.11.1,1.11.2,1.11.3,1.11.4,1.11.5,1.11.6,1.11.7, 1.11.8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Создание условий по охране здоровья работников образовательных организаций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прохождения работниками образовательных организаций медицинских осмотров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1.12.1,1.12.2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 Комплекс процессных мероприятий «Профилактика безнадзорности и правонарушений несовершеннолетних»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организации и проведения мероприятий по профилактике безнадзорности, беспризорности, правонарушений и антиобщественных действий несовершеннолетних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проведения мероприятий в соответствии с планом, обеспечение квалифицированной охраной объектов образовательных организаций 1,2 категорий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1.13.1,1.13.2,1.13.3,1.13.4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 Комплекс процессных мероприятий «Обеспечение доступного и качественного общего и дополнительного образования»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Повышение доступности общего и дополнительного образования  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деятельности (оказания услуг, выполнения работ) муниципальных общеобразовательных организаций, организаций дополнительного образования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1.14.1,1.14.2,1.14.3,1.14.4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3. Повышение доступности образования для лиц с ограниченными возможностями здоровья 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деятельности (оказание услуг, выполнения работ) муниципальных организаций для обучающихся с ограниченными возможностями здоровья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1.15.1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4. Поддержка и развитие профессиональной компетентности педагогических работников 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освещения, единовременные выплаты молодым специалистам, организация и проведение конкурсов профмастерства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1.16.1,1.16.2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987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5. 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  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Организация дополнительного образования в целях обеспечения функционирования модели персонифицированного финансирования дополнительного образования детей 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1.17.1,1.17.2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15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1.11. Комплекс процессных мероприятий «Организация управления подведомственными учреждениями» 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за реализацию – управление образования администрации (Хлынина М.Н.)</w:t>
            </w:r>
          </w:p>
        </w:tc>
        <w:tc>
          <w:tcPr>
            <w:tcW w:w="8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 реализации – 01.01.2025-31.12.2030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1. Создание условий для эффективной деятельности подведомственных организаций</w:t>
            </w:r>
          </w:p>
        </w:tc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Обеспечение функционирования органов управления образованием и муниципальных образовательных организаций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Показатель 1.18.1</w:t>
            </w:r>
          </w:p>
        </w:tc>
        <w:tc>
          <w:tcPr>
            <w:tcW w:w="237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Финансовое обеспечение муниципальной программы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812"/>
        <w:gridCol w:w="1926"/>
        <w:gridCol w:w="1279"/>
        <w:gridCol w:w="1279"/>
        <w:gridCol w:w="1281"/>
        <w:gridCol w:w="1279"/>
        <w:gridCol w:w="658"/>
        <w:gridCol w:w="657"/>
        <w:gridCol w:w="1397"/>
      </w:tblGrid>
      <w:tr>
        <w:trPr>
          <w:trHeight w:val="193" w:hRule="atLeast"/>
        </w:trPr>
        <w:tc>
          <w:tcPr>
            <w:tcW w:w="4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Ответственный исполнитель / соисполнитель  </w:t>
            </w:r>
          </w:p>
        </w:tc>
        <w:tc>
          <w:tcPr>
            <w:tcW w:w="7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  <w:r>
              <w:rPr>
                <w:rStyle w:val="FootnoteReference"/>
                <w:rFonts w:eastAsia="Times New Roman" w:cs="Times New Roman" w:ascii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>
        <w:trPr>
          <w:trHeight w:val="193" w:hRule="atLeast"/>
        </w:trPr>
        <w:tc>
          <w:tcPr>
            <w:tcW w:w="4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2603738,50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2619623,50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3248437,60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2632878,10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11104677,70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188499,20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175782,60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193658,70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162578,90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720519,40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1469627,90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1559746,10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1997784,90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1394857,70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6422016,60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945611,40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884094,80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1056994,00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1075441,50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3962141,70</w:t>
            </w:r>
          </w:p>
        </w:tc>
      </w:tr>
      <w:tr>
        <w:trPr>
          <w:trHeight w:val="271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Проект «Все лучшее детям» 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30526,90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1019,80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33791,10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1684,40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67022,20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22198,90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23016,70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45215,60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7611,40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909,80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10326,10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1574,40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20421,70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716,60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448,30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1384,90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1"/>
                <w:numId w:val="2"/>
              </w:numPr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Проект «Педагоги и наставники»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83848,50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86595,50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88463,10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88287,10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347194,20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83563,90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86210,50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87886,90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87606,50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345267,80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284,60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576,20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680,60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1926,40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1"/>
                <w:numId w:val="2"/>
              </w:numPr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Проект «Содействие созданию в Копейском городском округе (исходя из прогнозируемой потребности) новых мест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 общеобразовательных организациях Копейского городского округа»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78301,30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181373,40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601200,60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860875,30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72275,40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852275,40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6025,90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1373,40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1200,60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8599,90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1.4. Комплекс процессных мероприятий «Развитие инфраструктуры муниципальных образовательных организаций» 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900,00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 Комплекс процессных мероприятий «Обеспечение комплексной безопасности образовательных организаций»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22523,10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82523,10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4939,30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4939,30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17583,80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77583,80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1.6.  Комплекс процессных мероприятий ««Подготовка подведомственных организаций к новому учебному году» 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68569,50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158569,50  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3334,10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3334,10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65235,40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155235,40  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1.7. Комплекс процессных мероприятий «Развитие системы поддержки одаренных детей и талантливой молодежи»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3455,80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13955,80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3455,80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13955,80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1.8. Комплекс процессных мероприятий «Формирование здоровьесберегающих условий и безопасных условий организации образовательного процесса»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182131,00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200766,30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201001,00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202547,20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786445,50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82736,40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89572,10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82755,10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74972,40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330036,00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56462,60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44579,20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51630,90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55916,30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208589,00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42932,00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66615,00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66615,00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71658,50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247820,50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1.9. Комплекс процессных мероприятий «Профилактика безнадзорности и правонарушений несовершеннолетних»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4044,90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6284,10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6284,10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6284,10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22897,20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2787,60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462,60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462,60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462,60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4175,40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1257,30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5821,50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5821,50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5821,50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18721,80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1.10. Комплекс процессных мероприятий «Обеспечение доступного и качественного общего и дополнительного образования»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2081746,50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2050444,40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2224502,30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2240879,90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8597573,10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1321932,90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1333409,50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1334789,10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1336223,80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5326355,30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759813,60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717034,90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889713,20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904656,10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3271217,80</w:t>
            </w:r>
          </w:p>
        </w:tc>
      </w:tr>
      <w:tr>
        <w:trPr>
          <w:trHeight w:val="193" w:hRule="atLeast"/>
        </w:trPr>
        <w:tc>
          <w:tcPr>
            <w:tcW w:w="14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1.11. Комплекс процессных мероприятий «Организация управления подведомственными учреждениями»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Всего, в т.ч.: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образования администрации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48591,00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39340,00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39395,40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39395,40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166721,80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Федеральный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>Областной бюджет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Местный бюджет </w:t>
            </w:r>
          </w:p>
        </w:tc>
        <w:tc>
          <w:tcPr>
            <w:tcW w:w="19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48591,00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39340,00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39395,40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39395,40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166721,80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0830" w:leader="none"/>
        </w:tabs>
        <w:spacing w:lineRule="auto" w:line="240" w:before="0"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 городского округа</w:t>
        <w:tab/>
        <w:t xml:space="preserve">                      А.А. Ангеловский  </w:t>
      </w:r>
    </w:p>
    <w:p>
      <w:pPr>
        <w:pStyle w:val="Normal"/>
        <w:tabs>
          <w:tab w:val="clear" w:pos="708"/>
          <w:tab w:val="left" w:pos="10830" w:leader="none"/>
        </w:tabs>
        <w:spacing w:lineRule="auto" w:line="240" w:before="0" w:after="0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социальному развитию</w:t>
        <w:tab/>
        <w:t xml:space="preserve">                                                                  </w:t>
      </w:r>
    </w:p>
    <w:sectPr>
      <w:headerReference w:type="default" r:id="rId6"/>
      <w:headerReference w:type="first" r:id="rId7"/>
      <w:footnotePr>
        <w:numFmt w:val="decimal"/>
      </w:footnotePr>
      <w:type w:val="nextPage"/>
      <w:pgSz w:orient="landscape" w:w="16838" w:h="11906"/>
      <w:pgMar w:left="1134" w:right="1134" w:gutter="0" w:header="709" w:top="766" w:footer="0" w:bottom="1701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lineRule="auto" w:line="240" w:before="0" w:after="40"/>
        <w:rPr/>
      </w:pPr>
      <w:r>
        <w:rPr>
          <w:rStyle w:val="Style9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833640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10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833640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qFormat/>
    <w:rPr>
      <w:sz w:val="20"/>
    </w:rPr>
  </w:style>
  <w:style w:type="character" w:styleId="Style1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2" w:customStyle="1">
    <w:name w:val="Основной текст_"/>
    <w:basedOn w:val="DefaultParagraphFont"/>
    <w:link w:val="41"/>
    <w:qFormat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ConsPlusNormal" w:customStyle="1">
    <w:name w:val="ConsPlusNormal Знак"/>
    <w:basedOn w:val="DefaultParagraphFont"/>
    <w:link w:val="ConsPlusNormal1"/>
    <w:qFormat/>
    <w:rsid w:val="00015fca"/>
    <w:rPr>
      <w:rFonts w:ascii="Calibri" w:hAnsi="Calibri" w:eastAsia="Arial" w:cs="Calibri" w:eastAsiaTheme="minorEastAsia"/>
      <w:lang w:eastAsia="ru-RU"/>
    </w:rPr>
  </w:style>
  <w:style w:type="character" w:styleId="Style15" w:customStyle="1">
    <w:name w:val="Основной текст Знак"/>
    <w:basedOn w:val="DefaultParagraphFont"/>
    <w:qFormat/>
    <w:rsid w:val="008c3b3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843b9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5"/>
    <w:rsid w:val="008c3b3f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41" w:customStyle="1">
    <w:name w:val="Основной текст4"/>
    <w:basedOn w:val="Normal"/>
    <w:link w:val="Style12"/>
    <w:qFormat/>
    <w:pPr>
      <w:widowControl w:val="false"/>
      <w:shd w:val="clear" w:color="auto" w:fill="FFFFFF"/>
      <w:spacing w:lineRule="exact" w:line="544" w:before="0" w:after="0"/>
      <w:jc w:val="center"/>
    </w:pPr>
    <w:rPr>
      <w:rFonts w:ascii="Times New Roman" w:hAnsi="Times New Roman" w:eastAsia="Times New Roman" w:cs="Times New Roman"/>
      <w:sz w:val="23"/>
      <w:szCs w:val="23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1" w:customStyle="1">
    <w:name w:val="ConsPlusNormal"/>
    <w:link w:val="ConsPlusNormal"/>
    <w:qFormat/>
    <w:rsid w:val="00015fca"/>
    <w:pPr>
      <w:widowControl w:val="false"/>
      <w:bidi w:val="0"/>
      <w:spacing w:lineRule="auto" w:line="240" w:before="0" w:after="0"/>
      <w:jc w:val="left"/>
    </w:pPr>
    <w:rPr>
      <w:rFonts w:ascii="Calibri" w:hAnsi="Calibri" w:eastAsia="Arial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11" w:customStyle="1">
    <w:name w:val="Заголовок1"/>
    <w:basedOn w:val="ConsPlusNormal1"/>
    <w:next w:val="Heading1"/>
    <w:qFormat/>
    <w:rsid w:val="00f427e8"/>
    <w:pPr>
      <w:jc w:val="center"/>
    </w:pPr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843b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9">
    <w:name w:val="Верхний колонтитул слева"/>
    <w:basedOn w:val="Header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8c3b3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C2561A0BFB3185078583B1136596FB2EFDF2B65E80BA10139B6442944978918315A5137863E92302648E76B2DB5G3G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B47A-5704-4EA2-9C15-8E3C03E6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52</Pages>
  <Words>8939</Words>
  <Characters>68904</Characters>
  <CharactersWithSpaces>77232</CharactersWithSpaces>
  <Paragraphs>1897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2026-02-27T08:45:00Z</dcterms:created>
  <dc:creator>Кирилл А. Стамиков</dc:creator>
  <dc:description/>
  <dc:language>ru-RU</dc:language>
  <cp:lastModifiedBy/>
  <cp:lastPrinted>2026-02-16T13:11:00Z</cp:lastPrinted>
  <dcterms:modified xsi:type="dcterms:W3CDTF">2026-03-03T12:31:14Z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