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left="4820"/>
        <w:rPr>
          <w:rFonts w:ascii="Times New Roman" w:hAnsi="Times New Roman" w:cs="Times New Roman"/>
          <w:sz w:val="27"/>
          <w:szCs w:val="27"/>
        </w:rPr>
      </w:pPr>
      <w:bookmarkStart w:id="0" w:name="_GoBack"/>
      <w:bookmarkEnd w:id="0"/>
      <w:r>
        <w:rPr>
          <w:rFonts w:cs="Times New Roman" w:ascii="Times New Roman" w:hAnsi="Times New Roman"/>
          <w:sz w:val="27"/>
          <w:szCs w:val="27"/>
        </w:rPr>
        <w:t>УТВЕРЖДЕНА</w:t>
      </w:r>
    </w:p>
    <w:p>
      <w:pPr>
        <w:pStyle w:val="Normal"/>
        <w:spacing w:lineRule="auto" w:line="240" w:before="0" w:after="0"/>
        <w:ind w:left="4820"/>
        <w:rPr>
          <w:rFonts w:ascii="Times New Roman" w:hAnsi="Times New Roman" w:cs="Times New Roman"/>
          <w:sz w:val="27"/>
          <w:szCs w:val="27"/>
        </w:rPr>
      </w:pPr>
      <w:r>
        <w:rPr>
          <w:rFonts w:cs="Times New Roman" w:ascii="Times New Roman" w:hAnsi="Times New Roman"/>
          <w:sz w:val="27"/>
          <w:szCs w:val="27"/>
        </w:rPr>
        <w:t xml:space="preserve">распоряжением администрации </w:t>
        <w:br/>
        <w:t>Копейского городского округа</w:t>
      </w:r>
    </w:p>
    <w:p>
      <w:pPr>
        <w:pStyle w:val="Normal"/>
        <w:spacing w:lineRule="auto" w:line="240" w:before="0" w:after="0"/>
        <w:ind w:left="4820"/>
        <w:rPr>
          <w:rFonts w:ascii="Times New Roman" w:hAnsi="Times New Roman" w:cs="Times New Roman"/>
          <w:sz w:val="27"/>
          <w:szCs w:val="27"/>
        </w:rPr>
      </w:pPr>
      <w:r>
        <w:rPr>
          <w:rFonts w:cs="Times New Roman" w:ascii="Times New Roman" w:hAnsi="Times New Roman"/>
          <w:sz w:val="27"/>
          <w:szCs w:val="27"/>
        </w:rPr>
        <w:t>от 01.11.2024 № 884-р</w:t>
      </w:r>
    </w:p>
    <w:p>
      <w:pPr>
        <w:pStyle w:val="Normal"/>
        <w:spacing w:lineRule="auto" w:line="240" w:before="0" w:after="0"/>
        <w:ind w:left="4820"/>
        <w:rPr>
          <w:rFonts w:ascii="Times New Roman" w:hAnsi="Times New Roman" w:cs="Times New Roman"/>
          <w:sz w:val="27"/>
          <w:szCs w:val="27"/>
        </w:rPr>
      </w:pPr>
      <w:r>
        <w:rPr>
          <w:rFonts w:cs="Times New Roman" w:ascii="Times New Roman" w:hAnsi="Times New Roman"/>
          <w:sz w:val="27"/>
          <w:szCs w:val="27"/>
        </w:rPr>
        <w:t>(в редакции распоряжения администрации Копейского городского округа</w:t>
      </w:r>
    </w:p>
    <w:p>
      <w:pPr>
        <w:pStyle w:val="Normal"/>
        <w:spacing w:lineRule="auto" w:line="240" w:before="0" w:after="0"/>
        <w:ind w:left="4820"/>
        <w:rPr>
          <w:rFonts w:ascii="Times New Roman" w:hAnsi="Times New Roman" w:cs="Times New Roman"/>
          <w:sz w:val="27"/>
          <w:szCs w:val="27"/>
        </w:rPr>
      </w:pPr>
      <w:r>
        <w:rPr>
          <w:rFonts w:cs="Times New Roman" w:ascii="Times New Roman" w:hAnsi="Times New Roman"/>
          <w:sz w:val="27"/>
          <w:szCs w:val="27"/>
        </w:rPr>
        <w:t xml:space="preserve">от </w:t>
      </w:r>
      <w:r>
        <w:rPr>
          <w:rFonts w:cs="Times New Roman" w:ascii="Times New Roman" w:hAnsi="Times New Roman"/>
          <w:sz w:val="27"/>
          <w:szCs w:val="27"/>
          <w:u w:val="single"/>
        </w:rPr>
        <w:t>30.01.2026</w:t>
      </w:r>
      <w:r>
        <w:rPr>
          <w:rFonts w:cs="Times New Roman" w:ascii="Times New Roman" w:hAnsi="Times New Roman"/>
          <w:sz w:val="27"/>
          <w:szCs w:val="27"/>
          <w:u w:val="single"/>
        </w:rPr>
        <w:t xml:space="preserve"> № </w:t>
      </w:r>
      <w:r>
        <w:rPr>
          <w:rFonts w:cs="Times New Roman" w:ascii="Times New Roman" w:hAnsi="Times New Roman"/>
          <w:sz w:val="27"/>
          <w:szCs w:val="27"/>
          <w:u w:val="single"/>
        </w:rPr>
        <w:t>58-р</w:t>
      </w:r>
      <w:r>
        <w:rPr>
          <w:rFonts w:cs="Times New Roman" w:ascii="Times New Roman" w:hAnsi="Times New Roman"/>
          <w:sz w:val="27"/>
          <w:szCs w:val="27"/>
        </w:rPr>
        <w:t>)</w:t>
      </w:r>
    </w:p>
    <w:p>
      <w:pPr>
        <w:pStyle w:val="Heading1"/>
        <w:jc w:val="left"/>
        <w:rPr>
          <w:rFonts w:ascii="Times New Roman" w:hAnsi="Times New Roman" w:cs="Times New Roman"/>
          <w:sz w:val="27"/>
          <w:szCs w:val="27"/>
        </w:rPr>
      </w:pPr>
      <w:r>
        <w:rPr>
          <w:rFonts w:cs="Times New Roman" w:ascii="Times New Roman" w:hAnsi="Times New Roman"/>
          <w:sz w:val="27"/>
          <w:szCs w:val="27"/>
        </w:rPr>
      </w:r>
    </w:p>
    <w:p>
      <w:pPr>
        <w:pStyle w:val="Heading1"/>
        <w:spacing w:lineRule="auto" w:line="240" w:before="0" w:after="0"/>
        <w:ind w:hanging="11" w:left="11"/>
        <w:rPr>
          <w:rFonts w:ascii="Times New Roman" w:hAnsi="Times New Roman" w:cs="Times New Roman"/>
          <w:b w:val="false"/>
          <w:sz w:val="27"/>
          <w:szCs w:val="27"/>
        </w:rPr>
      </w:pPr>
      <w:r>
        <w:rPr>
          <w:rFonts w:cs="Times New Roman" w:ascii="Times New Roman" w:hAnsi="Times New Roman"/>
          <w:b w:val="false"/>
          <w:sz w:val="27"/>
          <w:szCs w:val="27"/>
        </w:rPr>
        <w:t>Муниципальная программа</w:t>
      </w:r>
    </w:p>
    <w:p>
      <w:pPr>
        <w:pStyle w:val="Heading1"/>
        <w:spacing w:lineRule="auto" w:line="240" w:before="0" w:after="0"/>
        <w:ind w:hanging="11" w:left="11"/>
        <w:rPr>
          <w:rFonts w:ascii="Times New Roman" w:hAnsi="Times New Roman"/>
          <w:b w:val="false"/>
          <w:sz w:val="27"/>
          <w:szCs w:val="27"/>
        </w:rPr>
      </w:pPr>
      <w:r>
        <w:rPr>
          <w:rFonts w:cs="Times New Roman" w:ascii="Times New Roman" w:hAnsi="Times New Roman"/>
          <w:sz w:val="27"/>
          <w:szCs w:val="27"/>
        </w:rPr>
        <w:t>«</w:t>
      </w:r>
      <w:r>
        <w:rPr>
          <w:rFonts w:ascii="Times New Roman" w:hAnsi="Times New Roman"/>
          <w:b w:val="false"/>
          <w:sz w:val="27"/>
          <w:szCs w:val="27"/>
        </w:rPr>
        <w:t>Развитие субъектов малого и среднего предпринимательства в Копейском городском округе Челябинской области»</w:t>
      </w:r>
    </w:p>
    <w:p>
      <w:pPr>
        <w:pStyle w:val="Normal"/>
        <w:spacing w:lineRule="auto" w:line="240" w:before="0" w:after="0"/>
        <w:jc w:val="center"/>
        <w:rPr>
          <w:rFonts w:ascii="Times New Roman" w:hAnsi="Times New Roman" w:cs="Times New Roman"/>
          <w:sz w:val="27"/>
          <w:szCs w:val="27"/>
        </w:rPr>
      </w:pPr>
      <w:r>
        <w:rPr>
          <w:rFonts w:cs="Times New Roman" w:ascii="Times New Roman" w:hAnsi="Times New Roman"/>
          <w:sz w:val="27"/>
          <w:szCs w:val="27"/>
        </w:rPr>
      </w:r>
    </w:p>
    <w:p>
      <w:pPr>
        <w:pStyle w:val="ListParagraph"/>
        <w:numPr>
          <w:ilvl w:val="0"/>
          <w:numId w:val="1"/>
        </w:numPr>
        <w:spacing w:lineRule="auto" w:line="240" w:before="0" w:after="0"/>
        <w:contextualSpacing/>
        <w:jc w:val="center"/>
        <w:rPr>
          <w:rFonts w:ascii="Times New Roman" w:hAnsi="Times New Roman" w:cs="Times New Roman"/>
          <w:sz w:val="27"/>
          <w:szCs w:val="27"/>
        </w:rPr>
      </w:pPr>
      <w:r>
        <w:rPr>
          <w:rFonts w:cs="Times New Roman" w:ascii="Times New Roman" w:hAnsi="Times New Roman"/>
          <w:sz w:val="27"/>
          <w:szCs w:val="27"/>
        </w:rPr>
        <w:t>Оценка текущего состояния в сфере экономического</w:t>
      </w:r>
    </w:p>
    <w:p>
      <w:pPr>
        <w:pStyle w:val="ListParagraph"/>
        <w:spacing w:lineRule="auto" w:line="240" w:before="0" w:after="0"/>
        <w:ind w:left="1080"/>
        <w:contextualSpacing/>
        <w:jc w:val="center"/>
        <w:rPr>
          <w:sz w:val="27"/>
          <w:szCs w:val="27"/>
        </w:rPr>
      </w:pPr>
      <w:r>
        <w:rPr>
          <w:rFonts w:cs="Times New Roman" w:ascii="Times New Roman" w:hAnsi="Times New Roman"/>
          <w:sz w:val="27"/>
          <w:szCs w:val="27"/>
        </w:rPr>
        <w:t>развития и инвестиц</w:t>
      </w:r>
      <w:r>
        <w:rPr>
          <w:rFonts w:cs="Times New Roman" w:ascii="Times New Roman" w:hAnsi="Times New Roman"/>
          <w:color w:val="000000"/>
          <w:sz w:val="27"/>
          <w:szCs w:val="27"/>
        </w:rPr>
        <w:t xml:space="preserve">ий </w:t>
      </w:r>
    </w:p>
    <w:p>
      <w:pPr>
        <w:pStyle w:val="Normal"/>
        <w:spacing w:lineRule="auto" w:line="240" w:before="0" w:after="0"/>
        <w:ind w:firstLine="709"/>
        <w:jc w:val="center"/>
        <w:rPr>
          <w:rFonts w:ascii="Times New Roman" w:hAnsi="Times New Roman" w:cs="Times New Roman"/>
          <w:sz w:val="27"/>
          <w:szCs w:val="27"/>
        </w:rPr>
      </w:pPr>
      <w:r>
        <w:rPr>
          <w:rFonts w:cs="Times New Roman" w:ascii="Times New Roman" w:hAnsi="Times New Roman"/>
          <w:sz w:val="27"/>
          <w:szCs w:val="27"/>
        </w:rPr>
      </w:r>
    </w:p>
    <w:p>
      <w:pPr>
        <w:pStyle w:val="Normal"/>
        <w:widowControl w:val="false"/>
        <w:tabs>
          <w:tab w:val="clear" w:pos="708"/>
          <w:tab w:val="left" w:pos="709" w:leader="none"/>
        </w:tabs>
        <w:spacing w:lineRule="auto" w:line="240" w:before="0" w:after="0"/>
        <w:jc w:val="both"/>
        <w:rPr>
          <w:rFonts w:ascii="Times New Roman" w:hAnsi="Times New Roman" w:cs="Times New Roman"/>
          <w:sz w:val="27"/>
          <w:szCs w:val="27"/>
        </w:rPr>
      </w:pPr>
      <w:r>
        <w:rPr>
          <w:rFonts w:cs="Times New Roman" w:ascii="Times New Roman" w:hAnsi="Times New Roman"/>
          <w:sz w:val="27"/>
          <w:szCs w:val="27"/>
        </w:rPr>
        <w:tab/>
        <w:t>1. Малый и средний бизнес играет значительную роль в решении              экономических и социальных задач Копейского городского округа (далее – городской округ), способствует формированию конкурентной среды, обеспечивает занятость и экономическую самостоятельность населения городского округа, стабильность налоговых поступлений в бюджеты всех уровней.</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2. Содействие развитию малого и среднего предпринимательства (далее – МСП) на основе программно-целевых методов планирования осуществляется                 в городском округе с 2007 года. Применяемый программно-целевой подход позволяет проводить планомерную работу по созданию более благоприятного климата для развития МСП в городском округе, контролировать исполнение намеченных результатов.</w:t>
      </w:r>
    </w:p>
    <w:p>
      <w:pPr>
        <w:pStyle w:val="ConsPlusNormal"/>
        <w:ind w:firstLine="709"/>
        <w:jc w:val="both"/>
        <w:rPr>
          <w:sz w:val="27"/>
          <w:szCs w:val="27"/>
        </w:rPr>
      </w:pPr>
      <w:r>
        <w:rPr>
          <w:rFonts w:eastAsia="Calibri" w:cs="Times New Roman" w:ascii="Times New Roman" w:hAnsi="Times New Roman"/>
          <w:sz w:val="27"/>
          <w:szCs w:val="27"/>
          <w:lang w:eastAsia="en-US" w:bidi="ar-SA"/>
        </w:rPr>
        <w:t>3. В соответствии с Федеральным законом от 24 июля 2007 года № 209-ФЗ                               «О развитии малого и среднего предпринимательства в Российской Федерации»                в городском округе предоставляется финансовая поддержка в форме субсидирования части затрат на развитие бизнеса, имущественная поддержка                   в виде передачи во владение и (или) пользование объектов муниципального имущества и информационно-консультационная.</w:t>
      </w:r>
    </w:p>
    <w:p>
      <w:pPr>
        <w:pStyle w:val="Normal"/>
        <w:spacing w:lineRule="auto" w:line="240" w:before="0" w:after="0"/>
        <w:ind w:firstLine="708"/>
        <w:jc w:val="both"/>
        <w:rPr>
          <w:rFonts w:ascii="Times New Roman" w:hAnsi="Times New Roman" w:cs="Times New Roman"/>
          <w:sz w:val="27"/>
          <w:szCs w:val="27"/>
        </w:rPr>
      </w:pPr>
      <w:r>
        <w:rPr>
          <w:rFonts w:cs="Times New Roman" w:ascii="Times New Roman" w:hAnsi="Times New Roman"/>
          <w:sz w:val="27"/>
          <w:szCs w:val="27"/>
        </w:rPr>
        <w:t>4. Инфраструктура поддержки малого и среднего бизнеса на территории городского округа состоит из:</w:t>
      </w:r>
    </w:p>
    <w:p>
      <w:pPr>
        <w:pStyle w:val="Normal"/>
        <w:spacing w:lineRule="auto" w:line="240" w:before="0" w:after="0"/>
        <w:ind w:firstLine="708"/>
        <w:jc w:val="both"/>
        <w:rPr>
          <w:rFonts w:ascii="Times New Roman" w:hAnsi="Times New Roman" w:cs="Times New Roman"/>
          <w:sz w:val="27"/>
          <w:szCs w:val="27"/>
        </w:rPr>
      </w:pPr>
      <w:r>
        <w:rPr>
          <w:rFonts w:cs="Times New Roman" w:ascii="Times New Roman" w:hAnsi="Times New Roman"/>
          <w:sz w:val="27"/>
          <w:szCs w:val="27"/>
        </w:rPr>
        <w:t>- информационно - консультационного центра;</w:t>
      </w:r>
    </w:p>
    <w:p>
      <w:pPr>
        <w:pStyle w:val="Normal"/>
        <w:spacing w:lineRule="auto" w:line="240" w:before="0" w:after="0"/>
        <w:ind w:firstLine="708"/>
        <w:jc w:val="both"/>
        <w:rPr>
          <w:rFonts w:ascii="Times New Roman" w:hAnsi="Times New Roman" w:cs="Times New Roman"/>
          <w:sz w:val="27"/>
          <w:szCs w:val="27"/>
        </w:rPr>
      </w:pPr>
      <w:r>
        <w:rPr>
          <w:rFonts w:cs="Times New Roman" w:ascii="Times New Roman" w:hAnsi="Times New Roman"/>
          <w:sz w:val="27"/>
          <w:szCs w:val="27"/>
        </w:rPr>
        <w:t>- общественного координационного Совета по развитию малого и среднего предпринимательства и улучшению инвестиционного климата в округе при Главе городского округа (далее – ОКС);</w:t>
      </w:r>
    </w:p>
    <w:p>
      <w:pPr>
        <w:pStyle w:val="Normal"/>
        <w:spacing w:lineRule="auto" w:line="240" w:before="0" w:after="0"/>
        <w:ind w:firstLine="708"/>
        <w:jc w:val="both"/>
        <w:rPr>
          <w:sz w:val="27"/>
          <w:szCs w:val="27"/>
        </w:rPr>
      </w:pPr>
      <w:r>
        <w:rPr>
          <w:rFonts w:cs="Times New Roman" w:ascii="Times New Roman" w:hAnsi="Times New Roman"/>
          <w:sz w:val="27"/>
          <w:szCs w:val="27"/>
        </w:rPr>
        <w:t>- общественного представителя Уполномоченного по защите прав предпринимателей Челябинской области в городе Копейске.</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Проблемы, связанные с развитием бизнеса, в последние годы усугубились из-за кризисных явлений, связанных с беспрецедентным внешним давлением                      от введенных в отношении Российской Федерации экономических санкций                      и ухода ряда иностранных компаний с российского рынка. В результате были разорваны сложившиеся цепочки поставок продукции и оборудования                            от традиционных поставщиков, возникла необходимость переориентации на новые рынки сбыта продукции и налаживания производства продукции для импортозамещения.</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В период нестабильности экономики у большинства работодателей рост производительности труда сдерживается сложностями с приобретением нового оборудования и дефицитом финансовых ресурсов для инвестиций в оборудование. Кроме того, бизнесу зачастую приходится искать новые рынки сбыта, что тоже влечет за собой значительные издержки. </w:t>
      </w:r>
      <w:r>
        <w:rPr>
          <w:rFonts w:cs="Times New Roman" w:ascii="Times New Roman" w:hAnsi="Times New Roman"/>
          <w:bCs/>
          <w:sz w:val="27"/>
          <w:szCs w:val="27"/>
        </w:rPr>
        <w:t>Перечисленные факторы создают высокие риски для развития экономики.</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Политика государства, направленная на сокращение неформальной занятости, определение правого статуса предпринимателя и предложенные Правительством Российской Федерации меры поддержки стали катализатором развития так называемой самозанятости населения. Специальный налоговый режим для физических лиц (в том числе индивидуальных предпринимателей) был введен на территории Челябинской области с 01.01.2020 на основании Федерального </w:t>
      </w:r>
      <w:hyperlink r:id="rId2" w:tgtFrame="consultantplus://offline/ref=CE6B9BF0D72FD8958AC669D40AAEE11A1F21A79F63DCF50F6493034BB2CF0F6EB9084C0BB76154AF759F6160A4DFcFI">
        <w:r>
          <w:rPr>
            <w:rStyle w:val="Style"/>
            <w:rFonts w:cs="Times New Roman" w:ascii="Times New Roman" w:hAnsi="Times New Roman"/>
            <w:sz w:val="27"/>
            <w:szCs w:val="27"/>
          </w:rPr>
          <w:t>закона</w:t>
        </w:r>
      </w:hyperlink>
      <w:r>
        <w:rPr>
          <w:rFonts w:cs="Times New Roman" w:ascii="Times New Roman" w:hAnsi="Times New Roman"/>
          <w:sz w:val="27"/>
          <w:szCs w:val="27"/>
        </w:rPr>
        <w:t xml:space="preserve"> от 27 ноября 2018 года № 422-ФЗ «О проведении эксперимента по установлению специального налогового режима «Налог                        на профессиональный доход». Указанный налоговый режим предназначен                       для физических лиц - производителей товаров, работ, услуг, получающих доходы от деятельности не более 2,4 миллиона рублей в год, не имеющих работодателя                      и не привлекающих наемных работников. </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Федеральным законодательством максимально упрощены правила работы для самозанятых, на них не распространяются проверки контролирующих органов. Для развития собственного дела, реализации своего проекта самозанятому необходимо периодическое обучение и повышение квалификации, приобретение оборудования, расходных материалов, инструмента, инвентаря, мебели,                        что в постоянно меняющихся условиях рынка является значительной статьей затрат.</w:t>
      </w:r>
    </w:p>
    <w:p>
      <w:pPr>
        <w:pStyle w:val="Normal"/>
        <w:tabs>
          <w:tab w:val="clear" w:pos="708"/>
          <w:tab w:val="left" w:pos="1134" w:leader="none"/>
        </w:tabs>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Наличие цели содействия развитию МСП, а также самостоятельной занятости, потребность в объединении усилий органов власти, общественных объединений малого и среднего бизнеса, структур поддержки предпринимательства, органов местного самоуправления обуславливают необходимость комплексного и последовательного подхода, рассчитанного                        на долгосрочный период, который предполагает использование программно-целевых методов, обеспечивающих увязку реализации мероприятий по срокам, ресурсам, исполнителям, а также организацию процесса управления и контроля.</w:t>
      </w:r>
    </w:p>
    <w:p>
      <w:pPr>
        <w:pStyle w:val="Normal"/>
        <w:spacing w:lineRule="auto" w:line="240" w:before="0" w:after="0"/>
        <w:ind w:firstLine="709"/>
        <w:jc w:val="both"/>
        <w:rPr>
          <w:rFonts w:ascii="Times New Roman" w:hAnsi="Times New Roman" w:cs="Times New Roman"/>
          <w:i/>
          <w:i/>
          <w:sz w:val="27"/>
          <w:szCs w:val="27"/>
        </w:rPr>
      </w:pPr>
      <w:r>
        <w:rPr>
          <w:rFonts w:cs="Times New Roman" w:ascii="Times New Roman" w:hAnsi="Times New Roman"/>
          <w:i/>
          <w:sz w:val="27"/>
          <w:szCs w:val="27"/>
        </w:rPr>
      </w:r>
    </w:p>
    <w:p>
      <w:pPr>
        <w:pStyle w:val="Normal"/>
        <w:spacing w:lineRule="auto" w:line="240" w:before="0" w:after="0"/>
        <w:ind w:firstLine="709"/>
        <w:jc w:val="center"/>
        <w:rPr>
          <w:sz w:val="27"/>
          <w:szCs w:val="27"/>
        </w:rPr>
      </w:pPr>
      <w:r>
        <w:rPr>
          <w:rFonts w:cs="Times New Roman" w:ascii="Times New Roman" w:hAnsi="Times New Roman"/>
          <w:sz w:val="27"/>
          <w:szCs w:val="27"/>
          <w:lang w:val="en-US"/>
        </w:rPr>
        <w:t>II</w:t>
      </w:r>
      <w:r>
        <w:rPr>
          <w:rFonts w:cs="Times New Roman" w:ascii="Times New Roman" w:hAnsi="Times New Roman"/>
          <w:sz w:val="27"/>
          <w:szCs w:val="27"/>
        </w:rPr>
        <w:t>. Описание приоритетов и целей муниципальной политики в сфере реализации программы</w:t>
      </w:r>
    </w:p>
    <w:p>
      <w:pPr>
        <w:pStyle w:val="Normal"/>
        <w:spacing w:lineRule="auto" w:line="240" w:before="0" w:after="0"/>
        <w:ind w:firstLine="709"/>
        <w:jc w:val="center"/>
        <w:rPr>
          <w:rFonts w:ascii="Times New Roman" w:hAnsi="Times New Roman" w:cs="Times New Roman"/>
          <w:sz w:val="27"/>
          <w:szCs w:val="27"/>
        </w:rPr>
      </w:pPr>
      <w:r>
        <w:rPr>
          <w:rFonts w:cs="Times New Roman" w:ascii="Times New Roman" w:hAnsi="Times New Roman"/>
          <w:sz w:val="27"/>
          <w:szCs w:val="27"/>
        </w:rPr>
      </w:r>
    </w:p>
    <w:p>
      <w:pPr>
        <w:pStyle w:val="Normal"/>
        <w:tabs>
          <w:tab w:val="clear" w:pos="708"/>
          <w:tab w:val="left" w:pos="1185" w:leader="none"/>
          <w:tab w:val="left" w:pos="6096" w:leader="none"/>
        </w:tabs>
        <w:spacing w:lineRule="auto" w:line="240" w:before="0" w:after="0"/>
        <w:ind w:firstLine="709"/>
        <w:jc w:val="both"/>
        <w:rPr>
          <w:sz w:val="27"/>
          <w:szCs w:val="27"/>
        </w:rPr>
      </w:pPr>
      <w:r>
        <w:rPr>
          <w:rFonts w:cs="Times New Roman" w:ascii="Times New Roman" w:hAnsi="Times New Roman"/>
          <w:sz w:val="27"/>
          <w:szCs w:val="27"/>
        </w:rPr>
        <w:t xml:space="preserve">5. Приоритеты муниципальной политики при реализации муниципальной программы определены исходя из целей и приоритетов государственной политики в сфере развития МСП, содержащихся в федеральных законах, решениях Президента Российской Федерации, Правительства Российской Федерации, Правительства Челябинской области, а также в соответствии со </w:t>
      </w:r>
      <w:hyperlink r:id="rId3" w:tgtFrame="consultantplus://offline/ref=CE6B9BF0D72FD8958AC677D91CC2BE111522FE9262D4F6513CC7051CED9F093BEB481252F62347AE72816361A3F6EF78EEEB10C96DAD44F813265DFBDFc5I">
        <w:r>
          <w:rPr>
            <w:rStyle w:val="Style"/>
            <w:rFonts w:cs="Times New Roman" w:ascii="Times New Roman" w:hAnsi="Times New Roman"/>
            <w:sz w:val="27"/>
            <w:szCs w:val="27"/>
          </w:rPr>
          <w:t xml:space="preserve">Стратегией </w:t>
        </w:r>
      </w:hyperlink>
      <w:r>
        <w:rPr>
          <w:rFonts w:cs="Times New Roman" w:ascii="Times New Roman" w:hAnsi="Times New Roman"/>
          <w:sz w:val="27"/>
          <w:szCs w:val="27"/>
        </w:rPr>
        <w:t>социально-экономического развития Копейского городского округа Челябинской области до 2035 года (утверждена решением Собрания депутатов Копейского городского округа от 19.12.2018 № 635-МО) (далее – Стратегия-2035). Мероприятия Программы направлены на решение стратегической задачи «улучшение инвестиционной, деловой, предпринимательской, общественной                      и гражданской активности в городе».</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6. Целью настоящей муниципальной программы является обеспечение благоприятных условий для развития МСП и самозанятых в городском округе.</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7. Большинство субъектов МСП городского округа относятся к категории микробизнеса. Значительное число субъектов микробизнеса, как правило, индивидуальные предприниматели, не имеющие наемных работников. Необходимо обеспечить качественный рост количества субъектов МСП, прежде всего за счет развития действующих предприятий, чтобы в структуре малого                      и среднего бизнеса было как можно больше эффективных компаний, дающих максимальный вклад в экономику городского округа. </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В сложившейся ситуации важнейшим направлением должны стать меры поддержки для развития бизнеса, обеспечивающие улучшение финансового положения компаний, вкладывающих средства в свое развитие. Необходимо предоставление стимулов для компаний, обновляющих оборудование, разрабатывающих новую продукцию, вкладывающих в развитие персонала, расширяющих рынки сбыта своей продукции.</w:t>
      </w:r>
    </w:p>
    <w:p>
      <w:pPr>
        <w:pStyle w:val="ConsPlusNormal"/>
        <w:ind w:firstLine="709"/>
        <w:jc w:val="both"/>
        <w:rPr>
          <w:rFonts w:ascii="Times New Roman" w:hAnsi="Times New Roman" w:eastAsia="Calibri" w:cs="Times New Roman"/>
          <w:sz w:val="27"/>
          <w:szCs w:val="27"/>
          <w:lang w:eastAsia="en-US" w:bidi="ar-SA"/>
        </w:rPr>
      </w:pPr>
      <w:r>
        <w:rPr>
          <w:rFonts w:eastAsia="Calibri" w:cs="Times New Roman" w:ascii="Times New Roman" w:hAnsi="Times New Roman"/>
          <w:sz w:val="27"/>
          <w:szCs w:val="27"/>
          <w:lang w:eastAsia="en-US" w:bidi="ar-SA"/>
        </w:rPr>
        <w:t>8. Значительным фактором, способствующим созданию благоприятных условий для развития МСП, является удовлетворение потребностей субъектов МСП в нежилых зданиях (помещениях).</w:t>
      </w:r>
    </w:p>
    <w:p>
      <w:pPr>
        <w:pStyle w:val="ConsPlusNormal"/>
        <w:ind w:firstLine="709"/>
        <w:jc w:val="both"/>
        <w:rPr>
          <w:rFonts w:ascii="Times New Roman" w:hAnsi="Times New Roman" w:eastAsia="Calibri" w:cs="Times New Roman"/>
          <w:sz w:val="27"/>
          <w:szCs w:val="27"/>
          <w:lang w:eastAsia="en-US" w:bidi="ar-SA"/>
        </w:rPr>
      </w:pPr>
      <w:r>
        <w:rPr>
          <w:rFonts w:eastAsia="Calibri" w:cs="Times New Roman" w:ascii="Times New Roman" w:hAnsi="Times New Roman"/>
          <w:sz w:val="27"/>
          <w:szCs w:val="27"/>
          <w:lang w:eastAsia="en-US" w:bidi="ar-SA"/>
        </w:rPr>
        <w:t>Имущественная поддержка субъектам МСП и самозанятым оказывается                  в виде передачи муниципального имущества во владение и (или) в пользование                  на долгосрочной основе (в том числе на льготных условиях). В целях оказания имущественной поддержки утвержден перечень муниципального имущества, находящегося в собственности городского округа, предназначенного для предоставления во владение и (или) пользование субъектам МСП                              и организациям, образующим инфраструктуру поддержки малого и среднего предпринимательства, и физическим лицам, не являющимся индивидуальными предпринимателями и применяющими специальный налоговый режим «Налог на профессиональный доход». Законодательством предусмотрены условия преимущественного права выкупа арендуемого субъектами МСП муниципального имущества, как включенного в перечень имущества, так и не включенного                         в перечень.</w:t>
      </w:r>
    </w:p>
    <w:p>
      <w:pPr>
        <w:pStyle w:val="ConsPlusNormal"/>
        <w:ind w:firstLine="709"/>
        <w:jc w:val="both"/>
        <w:rPr>
          <w:rFonts w:ascii="Times New Roman" w:hAnsi="Times New Roman" w:cs="Times New Roman"/>
          <w:sz w:val="27"/>
          <w:szCs w:val="27"/>
        </w:rPr>
      </w:pPr>
      <w:r>
        <w:rPr>
          <w:rFonts w:cs="Times New Roman" w:ascii="Times New Roman" w:hAnsi="Times New Roman"/>
          <w:sz w:val="27"/>
          <w:szCs w:val="27"/>
        </w:rPr>
        <w:t>9. Многие индивидуальные предприниматели, не имеющие наемных работников, после введения специального налогового режима «Налог                                 на профессиональный доход» перешли в категорию самозанятых, так как указанный налоговый режим является более выгодным и простым по сравнению                с налоговыми режимами, применяемыми субъектами МСП.</w:t>
      </w:r>
    </w:p>
    <w:p>
      <w:pPr>
        <w:pStyle w:val="Normal"/>
        <w:spacing w:lineRule="auto" w:line="240" w:before="0" w:after="0"/>
        <w:ind w:firstLine="709"/>
        <w:jc w:val="both"/>
        <w:rPr>
          <w:sz w:val="27"/>
          <w:szCs w:val="27"/>
        </w:rPr>
      </w:pPr>
      <w:r>
        <w:rPr>
          <w:rFonts w:cs="Times New Roman" w:ascii="Times New Roman" w:hAnsi="Times New Roman"/>
          <w:sz w:val="27"/>
          <w:szCs w:val="27"/>
        </w:rPr>
        <w:t>10. В соответствии со статьей 14.1 Федерального закона от 24 июля                  2007 года № 209-ФЗ «О развитии малого и среднего предпринимательства                          в Российской Федерации» физические лица, не являющиеся индивидуальными предпринимателями и применяющие специальный налоговый </w:t>
      </w:r>
      <w:hyperlink r:id="rId4" w:tgtFrame="https://www.consultant.ru/document/cons_doc_LAW_436790/">
        <w:r>
          <w:rPr>
            <w:rStyle w:val="Style"/>
            <w:rFonts w:cs="Times New Roman" w:ascii="Times New Roman" w:hAnsi="Times New Roman"/>
            <w:sz w:val="27"/>
            <w:szCs w:val="27"/>
          </w:rPr>
          <w:t>режим</w:t>
        </w:r>
      </w:hyperlink>
      <w:r>
        <w:rPr>
          <w:rFonts w:cs="Times New Roman" w:ascii="Times New Roman" w:hAnsi="Times New Roman"/>
          <w:sz w:val="27"/>
          <w:szCs w:val="27"/>
        </w:rPr>
        <w:t> «Налог                    на профессиональный доход», вправе обратиться за оказанием поддержки                            в органы местного самоуправления, оказывающие поддержку субъектам МСП. Это означает, что органы местного самоуправления обязаны предоставить самозанятым возможность реализовать свое право на обращение за поддержкой наряду с субъектами МСП.</w:t>
      </w:r>
    </w:p>
    <w:p>
      <w:pPr>
        <w:pStyle w:val="Normal"/>
        <w:spacing w:lineRule="auto" w:line="240" w:before="0" w:after="0"/>
        <w:ind w:firstLine="708"/>
        <w:jc w:val="both"/>
        <w:rPr>
          <w:rFonts w:ascii="Times New Roman" w:hAnsi="Times New Roman" w:cs="Times New Roman"/>
          <w:sz w:val="27"/>
          <w:szCs w:val="27"/>
        </w:rPr>
      </w:pPr>
      <w:r>
        <w:rPr>
          <w:rFonts w:cs="Times New Roman" w:ascii="Times New Roman" w:hAnsi="Times New Roman"/>
          <w:sz w:val="27"/>
          <w:szCs w:val="27"/>
        </w:rPr>
        <w:t>11. Инвестиционный климат – это экономические, политические, финансовые условия, оказывающие влияние на приток внутренних и внешних инвестиций в экономику округа. Благоприятный инвестиционный климат является неотъемлемой составляющей успешного развития городского округа.</w:t>
      </w:r>
    </w:p>
    <w:p>
      <w:pPr>
        <w:pStyle w:val="Normal"/>
        <w:spacing w:lineRule="auto" w:line="240" w:before="0" w:after="0"/>
        <w:ind w:firstLine="708"/>
        <w:jc w:val="both"/>
        <w:rPr>
          <w:rFonts w:ascii="Times New Roman" w:hAnsi="Times New Roman" w:cs="Times New Roman"/>
          <w:sz w:val="27"/>
          <w:szCs w:val="27"/>
        </w:rPr>
      </w:pPr>
      <w:r>
        <w:rPr>
          <w:rFonts w:cs="Times New Roman" w:ascii="Times New Roman" w:hAnsi="Times New Roman"/>
          <w:sz w:val="27"/>
          <w:szCs w:val="27"/>
        </w:rPr>
        <w:t>Для привлечения инвесторов и создания инвестиционного климата в рамках муниципальной программы запланированы мероприятия, практическая реализация которых способна обеспечить улучшение инвестиционного климата.</w:t>
      </w:r>
    </w:p>
    <w:p>
      <w:pPr>
        <w:pStyle w:val="Normal"/>
        <w:spacing w:lineRule="auto" w:line="240" w:before="0" w:after="0"/>
        <w:ind w:firstLine="708"/>
        <w:jc w:val="both"/>
        <w:rPr>
          <w:rFonts w:ascii="Times New Roman" w:hAnsi="Times New Roman" w:cs="Times New Roman"/>
          <w:sz w:val="27"/>
          <w:szCs w:val="27"/>
        </w:rPr>
      </w:pPr>
      <w:r>
        <w:rPr>
          <w:rFonts w:cs="Times New Roman" w:ascii="Times New Roman" w:hAnsi="Times New Roman"/>
          <w:sz w:val="27"/>
          <w:szCs w:val="27"/>
        </w:rPr>
        <w:t>Формирование открытых информационных ресурсов, включающих сведения об инвестиционном климате городского округа, позволит инвесторам использовать эти сведения в профессиональной деятельности. Потенциальным инвесторам будет доступна информация, необходимая для полноценного изучения инвестиционного климата в городе.</w:t>
      </w:r>
    </w:p>
    <w:p>
      <w:pPr>
        <w:pStyle w:val="Normal"/>
        <w:tabs>
          <w:tab w:val="clear" w:pos="708"/>
          <w:tab w:val="left" w:pos="709" w:leader="none"/>
        </w:tabs>
        <w:spacing w:lineRule="auto" w:line="240" w:before="0" w:after="0"/>
        <w:jc w:val="both"/>
        <w:rPr>
          <w:rFonts w:ascii="Times New Roman" w:hAnsi="Times New Roman" w:cs="Times New Roman"/>
          <w:sz w:val="27"/>
          <w:szCs w:val="27"/>
        </w:rPr>
      </w:pPr>
      <w:r>
        <w:rPr>
          <w:rFonts w:cs="Times New Roman" w:ascii="Times New Roman" w:hAnsi="Times New Roman"/>
          <w:sz w:val="27"/>
          <w:szCs w:val="27"/>
        </w:rPr>
        <w:tab/>
        <w:t>Для создания благоприятных условий для осуществления инвестиционной деятельности, улучшения имиджа и привлечения инвестиций в экономику городского округа предусмотрена льгота по земельному налогу в виде:</w:t>
      </w:r>
    </w:p>
    <w:p>
      <w:pPr>
        <w:pStyle w:val="Normal"/>
        <w:tabs>
          <w:tab w:val="clear" w:pos="708"/>
          <w:tab w:val="left" w:pos="709" w:leader="none"/>
        </w:tabs>
        <w:suppressAutoHyphens w:val="false"/>
        <w:spacing w:lineRule="auto" w:line="240" w:before="0" w:after="0"/>
        <w:jc w:val="both"/>
        <w:rPr>
          <w:rFonts w:ascii="Times New Roman" w:hAnsi="Times New Roman" w:cs="Times New Roman"/>
          <w:sz w:val="27"/>
          <w:szCs w:val="27"/>
        </w:rPr>
      </w:pPr>
      <w:r>
        <w:rPr>
          <w:rFonts w:cs="Times New Roman" w:ascii="Times New Roman" w:hAnsi="Times New Roman"/>
          <w:sz w:val="27"/>
          <w:szCs w:val="27"/>
        </w:rPr>
        <w:tab/>
        <w:t>а) освобождения от уплаты земельного налога:</w:t>
      </w:r>
    </w:p>
    <w:p>
      <w:pPr>
        <w:pStyle w:val="Normal"/>
        <w:tabs>
          <w:tab w:val="clear" w:pos="708"/>
          <w:tab w:val="left" w:pos="709" w:leader="none"/>
        </w:tabs>
        <w:spacing w:lineRule="auto" w:line="240" w:before="0" w:after="0"/>
        <w:jc w:val="both"/>
        <w:rPr>
          <w:rFonts w:ascii="Times New Roman" w:hAnsi="Times New Roman" w:cs="Times New Roman"/>
          <w:sz w:val="27"/>
          <w:szCs w:val="27"/>
        </w:rPr>
      </w:pPr>
      <w:r>
        <w:rPr>
          <w:rFonts w:cs="Times New Roman" w:ascii="Times New Roman" w:hAnsi="Times New Roman"/>
          <w:sz w:val="27"/>
          <w:szCs w:val="27"/>
        </w:rPr>
        <w:tab/>
        <w:t>- организациям, реализующим инвестиционные проекты на территории муниципального образования «Копейский городской округ»;</w:t>
      </w:r>
    </w:p>
    <w:p>
      <w:pPr>
        <w:pStyle w:val="Normal"/>
        <w:tabs>
          <w:tab w:val="clear" w:pos="708"/>
          <w:tab w:val="left" w:pos="709" w:leader="none"/>
        </w:tabs>
        <w:spacing w:lineRule="auto" w:line="240" w:before="0" w:after="0"/>
        <w:jc w:val="both"/>
        <w:rPr>
          <w:rFonts w:ascii="Times New Roman" w:hAnsi="Times New Roman" w:cs="Times New Roman"/>
          <w:sz w:val="27"/>
          <w:szCs w:val="27"/>
        </w:rPr>
      </w:pPr>
      <w:r>
        <w:rPr>
          <w:rFonts w:cs="Times New Roman" w:ascii="Times New Roman" w:hAnsi="Times New Roman"/>
          <w:sz w:val="27"/>
          <w:szCs w:val="27"/>
        </w:rPr>
        <w:tab/>
        <w:t>- управляющим компаниям индустриальных (промышленных) парков, включенных в реестр индустриальных (промышленных) парков и управляющих компаний индустриальных (промышленных) парков в соответствии                                   с постановлением Правительства Российской Федерации от 04.08.2015                     № 794 «Об индустриальных (промышленных) парках и управляющих компаниях индустриальных (промышленных) парков», и резидентов индустриальных (промышленных) парков, включенных в реестр, формирующийся управляющими компаниями;</w:t>
      </w:r>
    </w:p>
    <w:p>
      <w:pPr>
        <w:pStyle w:val="Normal"/>
        <w:tabs>
          <w:tab w:val="clear" w:pos="708"/>
          <w:tab w:val="left" w:pos="709" w:leader="none"/>
        </w:tabs>
        <w:spacing w:lineRule="auto" w:line="240" w:before="0" w:after="0"/>
        <w:jc w:val="both"/>
        <w:rPr>
          <w:rFonts w:ascii="Times New Roman" w:hAnsi="Times New Roman" w:cs="Times New Roman"/>
          <w:sz w:val="27"/>
          <w:szCs w:val="27"/>
        </w:rPr>
      </w:pPr>
      <w:r>
        <w:rPr>
          <w:rFonts w:cs="Times New Roman" w:ascii="Times New Roman" w:hAnsi="Times New Roman"/>
          <w:sz w:val="27"/>
          <w:szCs w:val="27"/>
        </w:rPr>
        <w:tab/>
        <w:t>- инвесторам, осуществляющим капитальные вложения в создание объектов спортивной инфраструктуры массового спорта с применением механизма государственно-частного (муниципально-частного) партнерства и/или концессионных соглашений, инвестиционных соглашений, в течение пяти лет                   с даты ввода объекта в эксплуатацию при условии эксплуатации объекта частным партнером или концессионером;</w:t>
      </w:r>
    </w:p>
    <w:p>
      <w:pPr>
        <w:pStyle w:val="Normal"/>
        <w:tabs>
          <w:tab w:val="clear" w:pos="708"/>
          <w:tab w:val="left" w:pos="709" w:leader="none"/>
        </w:tabs>
        <w:spacing w:lineRule="auto" w:line="240" w:before="0" w:after="0"/>
        <w:jc w:val="both"/>
        <w:rPr>
          <w:rFonts w:ascii="Times New Roman" w:hAnsi="Times New Roman" w:cs="Times New Roman"/>
          <w:sz w:val="27"/>
          <w:szCs w:val="27"/>
        </w:rPr>
      </w:pPr>
      <w:r>
        <w:rPr>
          <w:rFonts w:cs="Times New Roman" w:ascii="Times New Roman" w:hAnsi="Times New Roman"/>
          <w:sz w:val="27"/>
          <w:szCs w:val="27"/>
        </w:rPr>
        <w:tab/>
        <w:t>б) понижение ставки по земельному налогу в отношении земельных участков занятых:</w:t>
      </w:r>
    </w:p>
    <w:p>
      <w:pPr>
        <w:pStyle w:val="Normal"/>
        <w:tabs>
          <w:tab w:val="clear" w:pos="708"/>
          <w:tab w:val="left" w:pos="709" w:leader="none"/>
        </w:tabs>
        <w:spacing w:lineRule="auto" w:line="240" w:before="0" w:after="0"/>
        <w:jc w:val="both"/>
        <w:rPr>
          <w:rFonts w:ascii="Times New Roman" w:hAnsi="Times New Roman" w:cs="Times New Roman"/>
          <w:sz w:val="27"/>
          <w:szCs w:val="27"/>
        </w:rPr>
      </w:pPr>
      <w:r>
        <w:rPr>
          <w:rFonts w:cs="Times New Roman" w:ascii="Times New Roman" w:hAnsi="Times New Roman"/>
          <w:sz w:val="27"/>
          <w:szCs w:val="27"/>
        </w:rPr>
        <w:tab/>
        <w:t>- объектами связи и центрами обработки данных – 0,7%;</w:t>
      </w:r>
    </w:p>
    <w:p>
      <w:pPr>
        <w:pStyle w:val="Normal"/>
        <w:tabs>
          <w:tab w:val="clear" w:pos="708"/>
          <w:tab w:val="left" w:pos="709" w:leader="none"/>
        </w:tabs>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аэродромами и посадочными площадками, используемых для обеспечения полетов легких и сверхлегких воздушных судов – 0,3%.</w:t>
      </w:r>
    </w:p>
    <w:p>
      <w:pPr>
        <w:pStyle w:val="Normal"/>
        <w:tabs>
          <w:tab w:val="clear" w:pos="708"/>
          <w:tab w:val="left" w:pos="709" w:leader="none"/>
        </w:tabs>
        <w:spacing w:lineRule="auto" w:line="240" w:before="0" w:after="0"/>
        <w:jc w:val="both"/>
        <w:rPr>
          <w:rFonts w:ascii="Times New Roman" w:hAnsi="Times New Roman" w:cs="Times New Roman"/>
          <w:sz w:val="27"/>
          <w:szCs w:val="27"/>
        </w:rPr>
      </w:pPr>
      <w:r>
        <w:rPr>
          <w:rFonts w:cs="Times New Roman" w:ascii="Times New Roman" w:hAnsi="Times New Roman"/>
          <w:sz w:val="27"/>
          <w:szCs w:val="27"/>
        </w:rPr>
        <w:tab/>
        <w:t>Оценка применения указанной меры муниципального регулирования                        в сфере реализации муниципальной программы отражена в приложении 2                            к муниципальной программе.</w:t>
      </w:r>
    </w:p>
    <w:p>
      <w:pPr>
        <w:pStyle w:val="Normal"/>
        <w:spacing w:lineRule="auto" w:line="240" w:before="0" w:after="0"/>
        <w:ind w:firstLine="709"/>
        <w:jc w:val="center"/>
        <w:rPr>
          <w:rFonts w:ascii="Times New Roman" w:hAnsi="Times New Roman" w:cs="Times New Roman"/>
          <w:sz w:val="27"/>
          <w:szCs w:val="27"/>
        </w:rPr>
      </w:pPr>
      <w:r>
        <w:rPr>
          <w:rFonts w:cs="Times New Roman" w:ascii="Times New Roman" w:hAnsi="Times New Roman"/>
          <w:sz w:val="27"/>
          <w:szCs w:val="27"/>
        </w:rPr>
      </w:r>
    </w:p>
    <w:p>
      <w:pPr>
        <w:pStyle w:val="Normal"/>
        <w:spacing w:lineRule="auto" w:line="240" w:before="0" w:after="0"/>
        <w:ind w:firstLine="709"/>
        <w:jc w:val="center"/>
        <w:rPr>
          <w:sz w:val="27"/>
          <w:szCs w:val="27"/>
        </w:rPr>
      </w:pPr>
      <w:r>
        <w:rPr>
          <w:rFonts w:cs="Times New Roman" w:ascii="Times New Roman" w:hAnsi="Times New Roman"/>
          <w:sz w:val="27"/>
          <w:szCs w:val="27"/>
          <w:lang w:val="en-US"/>
        </w:rPr>
        <w:t>III</w:t>
      </w:r>
      <w:r>
        <w:rPr>
          <w:rFonts w:cs="Times New Roman" w:ascii="Times New Roman" w:hAnsi="Times New Roman"/>
          <w:sz w:val="27"/>
          <w:szCs w:val="27"/>
        </w:rPr>
        <w:t>. Сведения о взаимоувязке со стратегическими приоритетами, целями                 и показателями государственных программ</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12. Поддержка субъектов МСП в Российской Федерации осуществляется                  на всех уровнях власти: федеральный, региональный, муниципальный.</w:t>
      </w:r>
    </w:p>
    <w:p>
      <w:pPr>
        <w:pStyle w:val="NormalWeb"/>
        <w:shd w:val="clear" w:color="auto" w:fill="FFFFFF"/>
        <w:spacing w:before="0" w:after="0"/>
        <w:ind w:firstLine="709"/>
        <w:jc w:val="both"/>
        <w:rPr>
          <w:sz w:val="27"/>
          <w:szCs w:val="27"/>
        </w:rPr>
      </w:pPr>
      <w:r>
        <w:rPr>
          <w:rFonts w:cs="Times New Roman"/>
          <w:sz w:val="27"/>
          <w:szCs w:val="27"/>
        </w:rPr>
        <w:t xml:space="preserve">13. На федеральном уровне </w:t>
      </w:r>
      <w:r>
        <w:rPr>
          <w:rFonts w:eastAsia="Calibri" w:cs="Times New Roman"/>
          <w:sz w:val="27"/>
          <w:szCs w:val="27"/>
          <w:lang w:eastAsia="en-US"/>
        </w:rPr>
        <w:t>в соответствии с </w:t>
      </w:r>
      <w:hyperlink r:id="rId5" w:tgtFrame="http://publication.pravo.gov.ru/Document/View/0001202007210012">
        <w:r>
          <w:rPr>
            <w:rStyle w:val="Style"/>
            <w:rFonts w:eastAsia="Calibri" w:cs="Times New Roman"/>
            <w:sz w:val="27"/>
            <w:szCs w:val="27"/>
            <w:lang w:eastAsia="en-US"/>
          </w:rPr>
          <w:t>Указом Президента Российской Федерации от 07.05.202</w:t>
        </w:r>
      </w:hyperlink>
      <w:r>
        <w:rPr>
          <w:rFonts w:eastAsia="Calibri" w:cs="Times New Roman"/>
          <w:sz w:val="27"/>
          <w:szCs w:val="27"/>
          <w:lang w:eastAsia="en-US"/>
        </w:rPr>
        <w:t>4  № 309 «О национальных целях развития Российской Федерации на период до 2030 года и на перспективу до 2036 года» Министерством экономического развития Российской Федерации разработан национальный проект «Эффективная и конкурентная экономика», в который включены федеральные проекты, направленные на развитие малого и среднего предпринимательства, повышение производительности труда, рост инвестиционной активности.</w:t>
      </w:r>
    </w:p>
    <w:p>
      <w:pPr>
        <w:pStyle w:val="NormalWeb"/>
        <w:shd w:val="clear" w:color="auto" w:fill="FFFFFF"/>
        <w:spacing w:before="0" w:after="0"/>
        <w:ind w:firstLine="709"/>
        <w:jc w:val="both"/>
        <w:rPr>
          <w:rFonts w:eastAsia="Calibri" w:cs="Times New Roman"/>
          <w:sz w:val="27"/>
          <w:szCs w:val="27"/>
          <w:lang w:eastAsia="en-US"/>
        </w:rPr>
      </w:pPr>
      <w:r>
        <w:rPr>
          <w:rFonts w:eastAsia="Calibri" w:cs="Times New Roman"/>
          <w:sz w:val="27"/>
          <w:szCs w:val="27"/>
          <w:lang w:eastAsia="en-US"/>
        </w:rPr>
        <w:t>14. Распоряжением Правительства Российской Федерации от 02.06.2016                    № 1083-р утверждена Стратегия развития</w:t>
      </w:r>
      <w:r>
        <w:rPr>
          <w:rFonts w:cs="Times New Roman"/>
          <w:sz w:val="27"/>
          <w:szCs w:val="27"/>
        </w:rPr>
        <w:t xml:space="preserve"> малого и среднего предпринимательства в Российской Федерации на период до 2030 года, в соответствии с которой                        в рамках предоставления прямой финансовой поддержки в виде субсидий необходима приоритизация целевых групп – возможных получателей поддержки. В городском округе это субъекты МСП и самозанятые, которым </w:t>
      </w:r>
      <w:r>
        <w:rPr>
          <w:rFonts w:eastAsia="Calibri" w:cs="Times New Roman"/>
          <w:sz w:val="27"/>
          <w:szCs w:val="27"/>
          <w:lang w:eastAsia="en-US"/>
        </w:rPr>
        <w:t>на конкурентной основе</w:t>
      </w:r>
      <w:r>
        <w:rPr>
          <w:rFonts w:cs="Times New Roman"/>
          <w:sz w:val="27"/>
          <w:szCs w:val="27"/>
        </w:rPr>
        <w:t xml:space="preserve"> предоставляется субсидия на развитие бизнеса</w:t>
      </w:r>
      <w:r>
        <w:rPr>
          <w:rFonts w:eastAsia="Calibri" w:cs="Times New Roman"/>
          <w:sz w:val="27"/>
          <w:szCs w:val="27"/>
          <w:lang w:eastAsia="en-US"/>
        </w:rPr>
        <w:t>.</w:t>
      </w:r>
    </w:p>
    <w:p>
      <w:pPr>
        <w:pStyle w:val="NormalWeb"/>
        <w:shd w:val="clear" w:color="auto" w:fill="FFFFFF"/>
        <w:spacing w:before="0" w:after="0"/>
        <w:ind w:firstLine="709"/>
        <w:jc w:val="both"/>
        <w:rPr>
          <w:rFonts w:eastAsia="Calibri" w:cs="Times New Roman"/>
          <w:sz w:val="27"/>
          <w:szCs w:val="27"/>
          <w:lang w:eastAsia="en-US"/>
        </w:rPr>
      </w:pPr>
      <w:r>
        <w:rPr>
          <w:rFonts w:eastAsia="Calibri" w:cs="Times New Roman"/>
          <w:sz w:val="27"/>
          <w:szCs w:val="27"/>
          <w:lang w:eastAsia="en-US"/>
        </w:rPr>
        <w:t>15. Во исполнение Стратегии развития информационного общества                          в Российской Федерации на 2017–2030 годы необходимо создать условия для формирования пространства знаний и предоставления доступа к нему, совершенствовать механизмы распространения знаний, их применение                            на практике. Согласно Стратегии развития МСП в Российской Федерации                      на период до 2030 года необходимо развитие механизмов подготовки квалифицированных кадров для малых и средних предприятий и раскрытие предпринимательского потенциала. Необходимо обеспечить право граждан                    и субъектов МСП на объективную, безопасную информацию, получение качественных и достоверных сведений, новых знаний и компетенций, расширение кругозора.</w:t>
      </w:r>
    </w:p>
    <w:p>
      <w:pPr>
        <w:pStyle w:val="Normal"/>
        <w:spacing w:lineRule="auto" w:line="240" w:before="0" w:after="0"/>
        <w:ind w:firstLine="709"/>
        <w:jc w:val="both"/>
        <w:rPr>
          <w:sz w:val="27"/>
          <w:szCs w:val="27"/>
        </w:rPr>
      </w:pPr>
      <w:r>
        <w:rPr>
          <w:rFonts w:cs="Times New Roman" w:ascii="Times New Roman" w:hAnsi="Times New Roman"/>
          <w:sz w:val="27"/>
          <w:szCs w:val="27"/>
        </w:rPr>
        <w:t>16. На региональном уровне реализуется государственная программа «Экономическое развитие и инновационная экономика Челябинской области»               на 2021-2030 годы,</w:t>
      </w:r>
      <w:r>
        <w:rPr>
          <w:rFonts w:cs="Times New Roman" w:ascii="Times New Roman" w:hAnsi="Times New Roman"/>
          <w:color w:val="FF0000"/>
          <w:sz w:val="27"/>
          <w:szCs w:val="27"/>
        </w:rPr>
        <w:t xml:space="preserve"> </w:t>
      </w:r>
      <w:r>
        <w:rPr>
          <w:rFonts w:cs="Times New Roman" w:ascii="Times New Roman" w:hAnsi="Times New Roman"/>
          <w:sz w:val="27"/>
          <w:szCs w:val="27"/>
        </w:rPr>
        <w:t xml:space="preserve">утвержденная </w:t>
      </w:r>
      <w:hyperlink w:anchor="sub_0" w:tgtFrame="#sub_0">
        <w:r>
          <w:rPr>
            <w:rStyle w:val="Style"/>
            <w:rFonts w:cs="Times New Roman" w:ascii="Times New Roman" w:hAnsi="Times New Roman"/>
            <w:sz w:val="27"/>
            <w:szCs w:val="27"/>
          </w:rPr>
          <w:t>постановлением</w:t>
        </w:r>
      </w:hyperlink>
      <w:r>
        <w:rPr>
          <w:rFonts w:cs="Times New Roman" w:ascii="Times New Roman" w:hAnsi="Times New Roman"/>
          <w:sz w:val="27"/>
          <w:szCs w:val="27"/>
        </w:rPr>
        <w:t xml:space="preserve"> Правительства Челябинской области от 12.11.2020 № 577-П (далее – государственная программа). Основная цель государственной программы – создание условий для обеспечения роста благосостояния населения за счет развития экономики Челябинской области опережающими темпами. Одна из основных задач государственной программы – повышение конкурентоспособности субъектов МСП.</w:t>
      </w:r>
    </w:p>
    <w:p>
      <w:pPr>
        <w:pStyle w:val="BodyText"/>
        <w:spacing w:lineRule="auto" w:line="240" w:before="0" w:after="0"/>
        <w:ind w:firstLine="709"/>
        <w:jc w:val="both"/>
        <w:rPr>
          <w:sz w:val="27"/>
          <w:szCs w:val="27"/>
        </w:rPr>
      </w:pPr>
      <w:r>
        <w:rPr>
          <w:rFonts w:cs="Times New Roman" w:ascii="Times New Roman" w:hAnsi="Times New Roman"/>
          <w:sz w:val="27"/>
          <w:szCs w:val="27"/>
        </w:rPr>
        <w:t>17. Указанная государственная программа входит в национальный проект МСП. На региональном уровне создан областной центр «Мой бизнес» в рамках которого, сформирована сервисная модель оказания поддержки в режиме «одного окна» субъектов МСП, самозанятых и физических лиц, заинтересованных в начале осуществления предпринимательской деятельности.</w:t>
      </w:r>
    </w:p>
    <w:p>
      <w:pPr>
        <w:pStyle w:val="BodyText"/>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Центр «Мой бизнес» объединил ряд объектов инфраструктуры на одной площадке: центр поддержки предпринимательства, центр инноваций, региональный инжиниринговый центр, центр прототипирования, региональный экспортный центр, организации финансовой поддержки: гарантийной и микрофинансовой, а также иные организации, обратиться в которые могут представители предпринимательской и иной экономической деятельности.</w:t>
      </w:r>
    </w:p>
    <w:p>
      <w:pPr>
        <w:pStyle w:val="BodyText"/>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18. В дополнение к федеральным и региональным мерам поддержки администрация городского округа оказывает прямую финансовую, имущественную и информационно-консультационную поддержку субъектам МСП и самозанятым в рамках настоящей муниципальной программы.</w:t>
      </w:r>
    </w:p>
    <w:p>
      <w:pPr>
        <w:pStyle w:val="Normal"/>
        <w:spacing w:lineRule="auto" w:line="240" w:before="0" w:after="0"/>
        <w:ind w:firstLine="709"/>
        <w:jc w:val="both"/>
        <w:rPr>
          <w:sz w:val="27"/>
          <w:szCs w:val="27"/>
        </w:rPr>
      </w:pPr>
      <w:r>
        <w:rPr>
          <w:rFonts w:cs="Times New Roman" w:ascii="Times New Roman" w:hAnsi="Times New Roman"/>
          <w:sz w:val="27"/>
          <w:szCs w:val="27"/>
        </w:rPr>
        <w:t>19. Осуществление мероприятий муниципальной программы обеспечит исполнение полномочий по содействию развитию МСП. Основные мероприятия муниципальной программы позволяют осуществить целевое использование бюджетных средств в соответствии с утвержденными лимитами бюджетных обязательств, обеспечивают прозрачность всех операций. Регулярно проводимая оценка эффективности реализации настоящей муниципальной программы предоставляет возможность осуществлять контроль за целевым использованием бюджетных средств городского округа, результатами реализации муниципальной программы, степенью воздействия на социально-экономическое развитие округа.</w:t>
      </w:r>
    </w:p>
    <w:p>
      <w:pPr>
        <w:pStyle w:val="Normal"/>
        <w:spacing w:lineRule="auto" w:line="240" w:before="0" w:after="0"/>
        <w:ind w:firstLine="709"/>
        <w:jc w:val="both"/>
        <w:rPr>
          <w:sz w:val="27"/>
          <w:szCs w:val="27"/>
        </w:rPr>
      </w:pPr>
      <w:r>
        <w:rPr>
          <w:sz w:val="27"/>
          <w:szCs w:val="27"/>
        </w:rPr>
      </w:r>
    </w:p>
    <w:p>
      <w:pPr>
        <w:pStyle w:val="Normal"/>
        <w:spacing w:lineRule="auto" w:line="240" w:before="0" w:after="0"/>
        <w:ind w:firstLine="709"/>
        <w:jc w:val="center"/>
        <w:rPr>
          <w:sz w:val="27"/>
          <w:szCs w:val="27"/>
        </w:rPr>
      </w:pPr>
      <w:r>
        <w:rPr>
          <w:rFonts w:cs="Times New Roman" w:ascii="Times New Roman" w:hAnsi="Times New Roman"/>
          <w:sz w:val="27"/>
          <w:szCs w:val="27"/>
          <w:lang w:val="en-US"/>
        </w:rPr>
        <w:t>IV</w:t>
      </w:r>
      <w:r>
        <w:rPr>
          <w:rFonts w:cs="Times New Roman" w:ascii="Times New Roman" w:hAnsi="Times New Roman"/>
          <w:sz w:val="27"/>
          <w:szCs w:val="27"/>
        </w:rPr>
        <w:t>. Задачи муниципального управления, способы их эффективного решения в соответствующей отрасли экономики и сфере муниципального управления</w:t>
      </w:r>
    </w:p>
    <w:p>
      <w:pPr>
        <w:pStyle w:val="Normal"/>
        <w:spacing w:lineRule="auto" w:line="240" w:before="0" w:after="0"/>
        <w:ind w:firstLine="709"/>
        <w:jc w:val="center"/>
        <w:rPr>
          <w:rFonts w:ascii="Times New Roman" w:hAnsi="Times New Roman" w:cs="Times New Roman"/>
          <w:sz w:val="27"/>
          <w:szCs w:val="27"/>
        </w:rPr>
      </w:pPr>
      <w:r>
        <w:rPr>
          <w:rFonts w:cs="Times New Roman" w:ascii="Times New Roman" w:hAnsi="Times New Roman"/>
          <w:sz w:val="27"/>
          <w:szCs w:val="27"/>
        </w:rPr>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20. Обобщая вышеизложенное, можно отметить необходимость решения               на муниципальном уровне следующих вопросов малого и среднего бизнеса городского округа:</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потребность в финансовых ресурсах для обновления и модернизации основных фондов наряду с высоким износом основных средств;</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необходимость регулярного повышения уровня знаний руководителей                  и сотрудников сферы малого и среднего бизнеса, а также самозанятых;</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необходимость поиска новых партнеров и рынков сбыта;</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потребность субъектов малого и среднего предпринимательства                            и самозанятых в объектах имущества для ведения предпринимательской деятельности.</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21. Настоящая муниципальная программа предусматривает комплекс основных мероприятий по содействию развитию МСП, посредством которых предполагается достигнуть желаемых результатов.</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22. К задачам настоящей муниципальной программы относится:</w:t>
      </w:r>
    </w:p>
    <w:p>
      <w:pPr>
        <w:pStyle w:val="Normal"/>
        <w:spacing w:lineRule="auto" w:line="240" w:before="0" w:after="0"/>
        <w:ind w:firstLine="708"/>
        <w:jc w:val="both"/>
        <w:rPr>
          <w:rFonts w:ascii="Times New Roman" w:hAnsi="Times New Roman" w:cs="Times New Roman"/>
          <w:sz w:val="27"/>
          <w:szCs w:val="27"/>
        </w:rPr>
      </w:pPr>
      <w:r>
        <w:rPr>
          <w:rFonts w:cs="Times New Roman" w:ascii="Times New Roman" w:hAnsi="Times New Roman"/>
          <w:sz w:val="27"/>
          <w:szCs w:val="27"/>
        </w:rPr>
        <w:t>1) оказание финансовой и имущественной поддержки субъектам МСП                   и физическим лицам – плательщикам налога на профессиональный доход;</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2) обеспечение максимального привлечения инвестиций в экономику города, улучшение инвестиционного климата в городском округе.</w:t>
      </w:r>
    </w:p>
    <w:p>
      <w:pPr>
        <w:pStyle w:val="Normal"/>
        <w:spacing w:lineRule="auto" w:line="240" w:before="0" w:after="0"/>
        <w:ind w:firstLine="708"/>
        <w:jc w:val="both"/>
        <w:rPr>
          <w:rFonts w:ascii="Times New Roman" w:hAnsi="Times New Roman" w:cs="Times New Roman"/>
          <w:sz w:val="27"/>
          <w:szCs w:val="27"/>
        </w:rPr>
      </w:pPr>
      <w:r>
        <w:rPr>
          <w:rFonts w:cs="Times New Roman" w:ascii="Times New Roman" w:hAnsi="Times New Roman"/>
          <w:sz w:val="27"/>
          <w:szCs w:val="27"/>
        </w:rPr>
        <w:t>23. Предоставление финансовой поддержки субъектам МСП и самозанятым в форме субсидирования части затрат, связанных с развитием бизнеса, а именно:</w:t>
      </w:r>
    </w:p>
    <w:p>
      <w:pPr>
        <w:pStyle w:val="ListParagraph"/>
        <w:tabs>
          <w:tab w:val="clear" w:pos="708"/>
          <w:tab w:val="left" w:pos="993" w:leader="none"/>
        </w:tabs>
        <w:spacing w:lineRule="auto" w:line="240" w:before="0" w:after="0"/>
        <w:ind w:firstLine="709" w:left="0"/>
        <w:contextualSpacing/>
        <w:jc w:val="both"/>
        <w:rPr>
          <w:rFonts w:ascii="Times New Roman" w:hAnsi="Times New Roman" w:cs="Times New Roman"/>
          <w:sz w:val="27"/>
          <w:szCs w:val="27"/>
        </w:rPr>
      </w:pPr>
      <w:r>
        <w:rPr>
          <w:rFonts w:cs="Times New Roman" w:ascii="Times New Roman" w:hAnsi="Times New Roman"/>
          <w:sz w:val="27"/>
          <w:szCs w:val="27"/>
        </w:rPr>
        <w:t xml:space="preserve">- субъектам МСП – затрат на </w:t>
      </w:r>
      <w:r>
        <w:rPr>
          <w:rFonts w:cs="Times New Roman" w:ascii="Times New Roman" w:hAnsi="Times New Roman"/>
          <w:color w:val="000000"/>
          <w:sz w:val="27"/>
          <w:szCs w:val="27"/>
        </w:rPr>
        <w:t>приобретение оборудования в целях создания    и (или) развития, и (или) модернизации производства товаров (работ услуг),                       за исключением оборудования предназначенного для осуществления оптовой                   и розничной торговой деятельности</w:t>
      </w:r>
      <w:r>
        <w:rPr>
          <w:rFonts w:cs="Times New Roman" w:ascii="Times New Roman" w:hAnsi="Times New Roman"/>
          <w:sz w:val="27"/>
          <w:szCs w:val="27"/>
        </w:rPr>
        <w:t>;</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самозанятым –</w:t>
      </w:r>
      <w:r>
        <w:rPr>
          <w:rFonts w:cs="Times New Roman" w:ascii="Times New Roman" w:hAnsi="Times New Roman"/>
          <w:color w:val="000000"/>
          <w:sz w:val="27"/>
          <w:szCs w:val="27"/>
        </w:rPr>
        <w:t xml:space="preserve"> затрат на приобретение оборудования, приобретение инструмента и инвентаря, приобретение мебели, приобретение расходных материалов, аренду, повышение квалификации;</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24. Предоставление имущественной поддержки субъектам МСП                             и самозанятым, а именно, предоставление объектов муниципального имущества                 в аренду, отчуждение объектов муниципального имущества.</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25. Предоставление субсидий субъектам МСП и самозанятым осуществляется путем проведения отбора получателей субсидии на конкурентной основе на «Портале предоставления мер финансовой государственной поддержки» (</w:t>
      </w:r>
      <w:r>
        <w:rPr>
          <w:rFonts w:cs="Times New Roman" w:ascii="Times New Roman" w:hAnsi="Times New Roman"/>
          <w:sz w:val="27"/>
          <w:szCs w:val="27"/>
          <w:lang w:val="en-US"/>
        </w:rPr>
        <w:t>promote</w:t>
      </w:r>
      <w:r>
        <w:rPr>
          <w:rFonts w:cs="Times New Roman" w:ascii="Times New Roman" w:hAnsi="Times New Roman"/>
          <w:sz w:val="27"/>
          <w:szCs w:val="27"/>
        </w:rPr>
        <w:t>.</w:t>
      </w:r>
      <w:r>
        <w:rPr>
          <w:rFonts w:cs="Times New Roman" w:ascii="Times New Roman" w:hAnsi="Times New Roman"/>
          <w:sz w:val="27"/>
          <w:szCs w:val="27"/>
          <w:lang w:val="en-US"/>
        </w:rPr>
        <w:t>budget</w:t>
      </w:r>
      <w:r>
        <w:rPr>
          <w:rFonts w:cs="Times New Roman" w:ascii="Times New Roman" w:hAnsi="Times New Roman"/>
          <w:sz w:val="27"/>
          <w:szCs w:val="27"/>
        </w:rPr>
        <w:t>.</w:t>
      </w:r>
      <w:r>
        <w:rPr>
          <w:rFonts w:cs="Times New Roman" w:ascii="Times New Roman" w:hAnsi="Times New Roman"/>
          <w:sz w:val="27"/>
          <w:szCs w:val="27"/>
          <w:lang w:val="en-US"/>
        </w:rPr>
        <w:t>gov</w:t>
      </w:r>
      <w:r>
        <w:rPr>
          <w:rFonts w:cs="Times New Roman" w:ascii="Times New Roman" w:hAnsi="Times New Roman"/>
          <w:sz w:val="27"/>
          <w:szCs w:val="27"/>
        </w:rPr>
        <w:t>.</w:t>
      </w:r>
      <w:r>
        <w:rPr>
          <w:rFonts w:cs="Times New Roman" w:ascii="Times New Roman" w:hAnsi="Times New Roman"/>
          <w:sz w:val="27"/>
          <w:szCs w:val="27"/>
          <w:lang w:val="en-US"/>
        </w:rPr>
        <w:t>ru</w:t>
      </w:r>
      <w:r>
        <w:rPr>
          <w:rFonts w:cs="Times New Roman" w:ascii="Times New Roman" w:hAnsi="Times New Roman"/>
          <w:sz w:val="27"/>
          <w:szCs w:val="27"/>
        </w:rPr>
        <w:t>). Для подведения итогов отбора формируется комиссия                   по рассмотрению заявок участников отбора.</w:t>
      </w:r>
    </w:p>
    <w:p>
      <w:pPr>
        <w:pStyle w:val="Normal"/>
        <w:tabs>
          <w:tab w:val="clear" w:pos="708"/>
          <w:tab w:val="left" w:pos="993" w:leader="none"/>
        </w:tabs>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26. При обращении за оказанием финансовой поддержки в виде субсидии субъекты МСП и самозанятые представляют документы, подтверждающие                    их соответствие условиям, установленным Положением о предоставлении субсидии, утвержденным постановлением администрации городского округа.</w:t>
      </w:r>
    </w:p>
    <w:p>
      <w:pPr>
        <w:pStyle w:val="Normal"/>
        <w:tabs>
          <w:tab w:val="clear" w:pos="708"/>
          <w:tab w:val="left" w:pos="993" w:leader="none"/>
        </w:tabs>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27. Положением о предоставлении субсидии установлены показатели результативности предоставления субсидии для участников отбора.</w:t>
      </w:r>
    </w:p>
    <w:p>
      <w:pPr>
        <w:pStyle w:val="Normal"/>
        <w:tabs>
          <w:tab w:val="clear" w:pos="708"/>
          <w:tab w:val="left" w:pos="993" w:leader="none"/>
        </w:tabs>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28. Реализация настоящей муниципальной программы окажет позитивное влияние на социально-экономическую ситуацию в городском округе, будет способствовать развитию предпринимательской активности населения, модернизации основных фондов субъектов МСП, повышению конкурентоспособности субъектов МСП, повышению квалификации                                  и компетенций кадров, созданию условий развития деятельности самозанятых.</w:t>
      </w:r>
    </w:p>
    <w:p>
      <w:pPr>
        <w:pStyle w:val="Normal"/>
        <w:tabs>
          <w:tab w:val="clear" w:pos="708"/>
          <w:tab w:val="left" w:pos="851" w:leader="none"/>
          <w:tab w:val="left" w:pos="993" w:leader="none"/>
        </w:tabs>
        <w:spacing w:lineRule="auto" w:line="240" w:before="0" w:after="0"/>
        <w:jc w:val="both"/>
        <w:rPr>
          <w:rFonts w:ascii="Times New Roman" w:hAnsi="Times New Roman" w:cs="Times New Roman"/>
          <w:sz w:val="27"/>
          <w:szCs w:val="27"/>
        </w:rPr>
      </w:pPr>
      <w:r>
        <w:rPr>
          <w:rFonts w:cs="Times New Roman" w:ascii="Times New Roman" w:hAnsi="Times New Roman"/>
          <w:sz w:val="27"/>
          <w:szCs w:val="27"/>
        </w:rPr>
      </w:r>
    </w:p>
    <w:p>
      <w:pPr>
        <w:pStyle w:val="Normal"/>
        <w:tabs>
          <w:tab w:val="clear" w:pos="708"/>
          <w:tab w:val="left" w:pos="851" w:leader="none"/>
          <w:tab w:val="left" w:pos="993" w:leader="none"/>
        </w:tabs>
        <w:spacing w:lineRule="auto" w:line="240" w:before="0" w:after="0"/>
        <w:jc w:val="both"/>
        <w:rPr>
          <w:rFonts w:ascii="Times New Roman" w:hAnsi="Times New Roman" w:cs="Times New Roman"/>
          <w:sz w:val="27"/>
          <w:szCs w:val="27"/>
        </w:rPr>
      </w:pPr>
      <w:r>
        <w:rPr>
          <w:rFonts w:cs="Times New Roman" w:ascii="Times New Roman" w:hAnsi="Times New Roman"/>
          <w:sz w:val="27"/>
          <w:szCs w:val="27"/>
        </w:rPr>
      </w:r>
    </w:p>
    <w:p>
      <w:pPr>
        <w:pStyle w:val="Normal"/>
        <w:tabs>
          <w:tab w:val="clear" w:pos="708"/>
          <w:tab w:val="left" w:pos="851" w:leader="none"/>
          <w:tab w:val="left" w:pos="993" w:leader="none"/>
        </w:tabs>
        <w:spacing w:lineRule="auto" w:line="240" w:before="0" w:after="0"/>
        <w:jc w:val="both"/>
        <w:rPr>
          <w:rFonts w:ascii="Times New Roman" w:hAnsi="Times New Roman" w:cs="Times New Roman"/>
          <w:sz w:val="27"/>
          <w:szCs w:val="27"/>
        </w:rPr>
      </w:pPr>
      <w:r>
        <w:rPr>
          <w:rFonts w:cs="Times New Roman" w:ascii="Times New Roman" w:hAnsi="Times New Roman"/>
          <w:sz w:val="27"/>
          <w:szCs w:val="27"/>
        </w:rPr>
      </w:r>
    </w:p>
    <w:p>
      <w:pPr>
        <w:pStyle w:val="Normal"/>
        <w:tabs>
          <w:tab w:val="clear" w:pos="708"/>
          <w:tab w:val="left" w:pos="851" w:leader="none"/>
          <w:tab w:val="left" w:pos="993" w:leader="none"/>
        </w:tabs>
        <w:spacing w:lineRule="auto" w:line="240" w:before="0" w:after="0"/>
        <w:jc w:val="both"/>
        <w:rPr>
          <w:rFonts w:ascii="Times New Roman" w:hAnsi="Times New Roman" w:cs="Times New Roman"/>
          <w:sz w:val="27"/>
          <w:szCs w:val="27"/>
        </w:rPr>
      </w:pPr>
      <w:r>
        <w:rPr>
          <w:rFonts w:cs="Times New Roman" w:ascii="Times New Roman" w:hAnsi="Times New Roman"/>
          <w:sz w:val="27"/>
          <w:szCs w:val="27"/>
        </w:rPr>
        <w:t>Заместитель Главы</w:t>
      </w:r>
    </w:p>
    <w:p>
      <w:pPr>
        <w:pStyle w:val="Normal"/>
        <w:tabs>
          <w:tab w:val="clear" w:pos="708"/>
          <w:tab w:val="left" w:pos="851" w:leader="none"/>
          <w:tab w:val="left" w:pos="993" w:leader="none"/>
        </w:tabs>
        <w:spacing w:lineRule="auto" w:line="240" w:before="0" w:after="0"/>
        <w:jc w:val="both"/>
        <w:rPr>
          <w:rFonts w:ascii="Times New Roman" w:hAnsi="Times New Roman" w:cs="Times New Roman"/>
          <w:sz w:val="27"/>
          <w:szCs w:val="27"/>
        </w:rPr>
      </w:pPr>
      <w:r>
        <w:rPr>
          <w:rFonts w:cs="Times New Roman" w:ascii="Times New Roman" w:hAnsi="Times New Roman"/>
          <w:sz w:val="27"/>
          <w:szCs w:val="27"/>
        </w:rPr>
        <w:t>городского округа</w:t>
      </w:r>
    </w:p>
    <w:p>
      <w:pPr>
        <w:pStyle w:val="Normal"/>
        <w:tabs>
          <w:tab w:val="clear" w:pos="708"/>
          <w:tab w:val="left" w:pos="851" w:leader="none"/>
          <w:tab w:val="left" w:pos="993" w:leader="none"/>
        </w:tabs>
        <w:spacing w:lineRule="auto" w:line="240" w:before="0" w:after="0"/>
        <w:jc w:val="both"/>
        <w:rPr>
          <w:rFonts w:ascii="Times New Roman" w:hAnsi="Times New Roman" w:cs="Times New Roman"/>
          <w:sz w:val="27"/>
          <w:szCs w:val="27"/>
        </w:rPr>
      </w:pPr>
      <w:r>
        <w:rPr>
          <w:rFonts w:cs="Times New Roman" w:ascii="Times New Roman" w:hAnsi="Times New Roman"/>
          <w:sz w:val="27"/>
          <w:szCs w:val="27"/>
        </w:rPr>
        <w:t>по финансам и экономике                                                                       О.М. Пескова</w:t>
      </w:r>
    </w:p>
    <w:p>
      <w:pPr>
        <w:pStyle w:val="Normal"/>
        <w:spacing w:lineRule="auto" w:line="240" w:before="0" w:after="0"/>
        <w:ind w:firstLine="709"/>
        <w:jc w:val="both"/>
        <w:rPr/>
      </w:pPr>
      <w:r>
        <w:rPr/>
      </w:r>
    </w:p>
    <w:sectPr>
      <w:headerReference w:type="even" r:id="rId6"/>
      <w:headerReference w:type="default" r:id="rId7"/>
      <w:headerReference w:type="first" r:id="rId8"/>
      <w:type w:val="nextPage"/>
      <w:pgSz w:w="11906" w:h="16838"/>
      <w:pgMar w:left="1701" w:right="567" w:gutter="0" w:header="0"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Liberation Sans">
    <w:altName w:val="Arial"/>
    <w:charset w:val="01"/>
    <w:family w:val="roman"/>
    <w:pitch w:val="default"/>
  </w:font>
  <w:font w:name="Calibri Light">
    <w:charset w:val="01"/>
    <w:family w:val="swiss"/>
    <w:pitch w:val="default"/>
  </w:font>
  <w:font w:name="Arial">
    <w:charset w:val="01"/>
    <w:family w:val="swiss"/>
    <w:pitch w:val="default"/>
  </w:font>
  <w:font w:name="Segoe UI">
    <w:charset w:val="01"/>
    <w:family w:val="swiss"/>
    <w:pitch w:val="default"/>
  </w:font>
  <w:font w:name="PT Astra Serif">
    <w:charset w:val="01"/>
    <w:family w:val="roman"/>
    <w:pitch w:val="default"/>
  </w:font>
  <w:font w:name="Liberation Serif">
    <w:altName w:val="Times New Roman"/>
    <w:charset w:val="01"/>
    <w:family w:val="roman"/>
    <w:pitch w:val="default"/>
  </w:font>
  <w:font w:name="Times New Roman">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jc w:val="center"/>
      <w:rPr/>
    </w:pPr>
    <w:r>
      <w:rPr/>
    </w:r>
  </w:p>
  <w:p>
    <w:pPr>
      <w:pStyle w:val="Header"/>
      <w:jc w:val="center"/>
      <w:rPr>
        <w:sz w:val="26"/>
        <w:szCs w:val="26"/>
      </w:rPr>
    </w:pPr>
    <w:r>
      <w:rPr>
        <w:rFonts w:cs="Times New Roman" w:ascii="Times New Roman" w:hAnsi="Times New Roman"/>
        <w:sz w:val="26"/>
        <w:szCs w:val="26"/>
      </w:rPr>
      <w:fldChar w:fldCharType="begin"/>
    </w:r>
    <w:r>
      <w:rPr>
        <w:sz w:val="26"/>
        <w:szCs w:val="26"/>
        <w:rFonts w:cs="Times New Roman" w:ascii="Times New Roman" w:hAnsi="Times New Roman"/>
      </w:rPr>
      <w:instrText xml:space="preserve"> PAGE </w:instrText>
    </w:r>
    <w:r>
      <w:rPr>
        <w:sz w:val="26"/>
        <w:szCs w:val="26"/>
        <w:rFonts w:cs="Times New Roman" w:ascii="Times New Roman" w:hAnsi="Times New Roman"/>
      </w:rPr>
      <w:fldChar w:fldCharType="separate"/>
    </w:r>
    <w:r>
      <w:rPr>
        <w:sz w:val="26"/>
        <w:szCs w:val="26"/>
        <w:rFonts w:cs="Times New Roman" w:ascii="Times New Roman" w:hAnsi="Times New Roman"/>
      </w:rPr>
      <w:t>7</w:t>
    </w:r>
    <w:r>
      <w:rPr>
        <w:sz w:val="26"/>
        <w:szCs w:val="26"/>
        <w:rFonts w:cs="Times New Roman"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1080" w:hanging="72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Arial"/>
      <w:color w:val="auto"/>
      <w:kern w:val="0"/>
      <w:sz w:val="22"/>
      <w:szCs w:val="22"/>
      <w:lang w:val="ru-RU" w:eastAsia="en-US" w:bidi="ar-SA"/>
    </w:rPr>
  </w:style>
  <w:style w:type="paragraph" w:styleId="Heading1">
    <w:name w:val="heading 1"/>
    <w:next w:val="Normal"/>
    <w:qFormat/>
    <w:pPr>
      <w:keepNext w:val="true"/>
      <w:keepLines/>
      <w:widowControl/>
      <w:suppressAutoHyphens w:val="true"/>
      <w:bidi w:val="0"/>
      <w:spacing w:lineRule="auto" w:line="264" w:before="0" w:after="188"/>
      <w:ind w:hanging="10" w:left="10"/>
      <w:jc w:val="center"/>
      <w:outlineLvl w:val="0"/>
    </w:pPr>
    <w:rPr>
      <w:rFonts w:ascii="Liberation Sans" w:hAnsi="Liberation Sans" w:eastAsia="Liberation Sans" w:cs="Liberation Sans"/>
      <w:b/>
      <w:color w:val="000000"/>
      <w:kern w:val="0"/>
      <w:sz w:val="22"/>
      <w:szCs w:val="22"/>
      <w:lang w:eastAsia="ru-RU" w:val="ru-RU" w:bidi="ar-SA"/>
    </w:rPr>
  </w:style>
  <w:style w:type="paragraph" w:styleId="Heading2">
    <w:name w:val="heading 2"/>
    <w:basedOn w:val="Normal"/>
    <w:next w:val="Normal"/>
    <w:qFormat/>
    <w:pPr>
      <w:keepNext w:val="true"/>
      <w:keepLines/>
      <w:spacing w:before="40" w:after="0"/>
      <w:outlineLvl w:val="1"/>
    </w:pPr>
    <w:rPr>
      <w:rFonts w:ascii="Calibri Light" w:hAnsi="Calibri Light" w:eastAsia="Arial"/>
      <w:color w:val="2E74B5"/>
      <w:sz w:val="26"/>
      <w:szCs w:val="26"/>
    </w:rPr>
  </w:style>
  <w:style w:type="paragraph" w:styleId="Heading3">
    <w:name w:val="heading 3"/>
    <w:basedOn w:val="Normal"/>
    <w:next w:val="Normal"/>
    <w:qFormat/>
    <w:pPr>
      <w:keepNext w:val="true"/>
      <w:keepLines/>
      <w:spacing w:before="320" w:after="200"/>
      <w:outlineLvl w:val="2"/>
    </w:pPr>
    <w:rPr>
      <w:rFonts w:ascii="Arial" w:hAnsi="Arial" w:eastAsia="Arial"/>
      <w:sz w:val="30"/>
      <w:szCs w:val="30"/>
    </w:rPr>
  </w:style>
  <w:style w:type="paragraph" w:styleId="Heading4">
    <w:name w:val="heading 4"/>
    <w:basedOn w:val="Normal"/>
    <w:next w:val="Normal"/>
    <w:qFormat/>
    <w:pPr>
      <w:keepNext w:val="true"/>
      <w:keepLines/>
      <w:spacing w:before="320" w:after="200"/>
      <w:outlineLvl w:val="3"/>
    </w:pPr>
    <w:rPr>
      <w:rFonts w:ascii="Arial" w:hAnsi="Arial" w:eastAsia="Arial"/>
      <w:b/>
      <w:bCs/>
      <w:sz w:val="26"/>
      <w:szCs w:val="26"/>
    </w:rPr>
  </w:style>
  <w:style w:type="paragraph" w:styleId="Heading5">
    <w:name w:val="heading 5"/>
    <w:basedOn w:val="Normal"/>
    <w:next w:val="Normal"/>
    <w:qFormat/>
    <w:pPr>
      <w:keepNext w:val="true"/>
      <w:keepLines/>
      <w:spacing w:before="320" w:after="200"/>
      <w:outlineLvl w:val="4"/>
    </w:pPr>
    <w:rPr>
      <w:rFonts w:ascii="Arial" w:hAnsi="Arial" w:eastAsia="Arial"/>
      <w:b/>
      <w:bCs/>
      <w:sz w:val="24"/>
      <w:szCs w:val="24"/>
    </w:rPr>
  </w:style>
  <w:style w:type="paragraph" w:styleId="Heading6">
    <w:name w:val="heading 6"/>
    <w:basedOn w:val="Normal"/>
    <w:next w:val="Normal"/>
    <w:qFormat/>
    <w:pPr>
      <w:keepNext w:val="true"/>
      <w:keepLines/>
      <w:spacing w:before="320" w:after="200"/>
      <w:outlineLvl w:val="5"/>
    </w:pPr>
    <w:rPr>
      <w:rFonts w:ascii="Arial" w:hAnsi="Arial" w:eastAsia="Arial"/>
      <w:b/>
      <w:bCs/>
    </w:rPr>
  </w:style>
  <w:style w:type="paragraph" w:styleId="Heading7">
    <w:name w:val="heading 7"/>
    <w:basedOn w:val="Normal"/>
    <w:next w:val="Normal"/>
    <w:qFormat/>
    <w:pPr>
      <w:keepNext w:val="true"/>
      <w:keepLines/>
      <w:spacing w:before="320" w:after="200"/>
      <w:outlineLvl w:val="6"/>
    </w:pPr>
    <w:rPr>
      <w:rFonts w:ascii="Arial" w:hAnsi="Arial" w:eastAsia="Arial"/>
      <w:b/>
      <w:bCs/>
      <w:i/>
      <w:iCs/>
    </w:rPr>
  </w:style>
  <w:style w:type="paragraph" w:styleId="Heading8">
    <w:name w:val="heading 8"/>
    <w:basedOn w:val="Normal"/>
    <w:next w:val="Normal"/>
    <w:qFormat/>
    <w:pPr>
      <w:keepNext w:val="true"/>
      <w:keepLines/>
      <w:spacing w:before="320" w:after="200"/>
      <w:outlineLvl w:val="7"/>
    </w:pPr>
    <w:rPr>
      <w:rFonts w:ascii="Arial" w:hAnsi="Arial" w:eastAsia="Arial"/>
      <w:i/>
      <w:iCs/>
    </w:rPr>
  </w:style>
  <w:style w:type="paragraph" w:styleId="Heading9">
    <w:name w:val="heading 9"/>
    <w:basedOn w:val="Normal"/>
    <w:next w:val="Normal"/>
    <w:qFormat/>
    <w:pPr>
      <w:keepNext w:val="true"/>
      <w:keepLines/>
      <w:spacing w:before="320" w:after="200"/>
      <w:outlineLvl w:val="8"/>
    </w:pPr>
    <w:rPr>
      <w:rFonts w:ascii="Arial" w:hAnsi="Arial" w:eastAsia="Arial"/>
      <w:i/>
      <w:iCs/>
      <w:sz w:val="21"/>
      <w:szCs w:val="21"/>
    </w:rPr>
  </w:style>
  <w:style w:type="character" w:styleId="DefaultParagraphFont" w:default="1">
    <w:name w:val="Default Paragraph Font"/>
    <w:uiPriority w:val="1"/>
    <w:semiHidden/>
    <w:unhideWhenUsed/>
    <w:qFormat/>
    <w:rPr/>
  </w:style>
  <w:style w:type="character" w:styleId="11" w:customStyle="1">
    <w:name w:val="Заголовок 1 Знак1"/>
    <w:basedOn w:val="DefaultParagraphFont"/>
    <w:qFormat/>
    <w:rPr>
      <w:rFonts w:ascii="Arial" w:hAnsi="Arial" w:eastAsia="Arial" w:cs="Arial"/>
      <w:sz w:val="40"/>
      <w:szCs w:val="40"/>
    </w:rPr>
  </w:style>
  <w:style w:type="character" w:styleId="21" w:customStyle="1">
    <w:name w:val="Заголовок 2 Знак1"/>
    <w:basedOn w:val="DefaultParagraphFont"/>
    <w:qFormat/>
    <w:rPr>
      <w:rFonts w:ascii="Arial" w:hAnsi="Arial" w:eastAsia="Arial" w:cs="Arial"/>
      <w:sz w:val="34"/>
    </w:rPr>
  </w:style>
  <w:style w:type="character" w:styleId="3" w:customStyle="1">
    <w:name w:val="Заголовок 3 Знак"/>
    <w:basedOn w:val="DefaultParagraphFont"/>
    <w:qFormat/>
    <w:rPr>
      <w:rFonts w:ascii="Arial" w:hAnsi="Arial" w:eastAsia="Arial" w:cs="Arial"/>
      <w:sz w:val="30"/>
      <w:szCs w:val="30"/>
    </w:rPr>
  </w:style>
  <w:style w:type="character" w:styleId="4" w:customStyle="1">
    <w:name w:val="Заголовок 4 Знак"/>
    <w:basedOn w:val="DefaultParagraphFont"/>
    <w:qFormat/>
    <w:rPr>
      <w:rFonts w:ascii="Arial" w:hAnsi="Arial" w:eastAsia="Arial" w:cs="Arial"/>
      <w:b/>
      <w:bCs/>
      <w:sz w:val="26"/>
      <w:szCs w:val="26"/>
    </w:rPr>
  </w:style>
  <w:style w:type="character" w:styleId="5" w:customStyle="1">
    <w:name w:val="Заголовок 5 Знак"/>
    <w:basedOn w:val="DefaultParagraphFont"/>
    <w:qFormat/>
    <w:rPr>
      <w:rFonts w:ascii="Arial" w:hAnsi="Arial" w:eastAsia="Arial" w:cs="Arial"/>
      <w:b/>
      <w:bCs/>
      <w:sz w:val="24"/>
      <w:szCs w:val="24"/>
    </w:rPr>
  </w:style>
  <w:style w:type="character" w:styleId="6" w:customStyle="1">
    <w:name w:val="Заголовок 6 Знак"/>
    <w:basedOn w:val="DefaultParagraphFont"/>
    <w:qFormat/>
    <w:rPr>
      <w:rFonts w:ascii="Arial" w:hAnsi="Arial" w:eastAsia="Arial" w:cs="Arial"/>
      <w:b/>
      <w:bCs/>
      <w:sz w:val="22"/>
      <w:szCs w:val="22"/>
    </w:rPr>
  </w:style>
  <w:style w:type="character" w:styleId="7" w:customStyle="1">
    <w:name w:val="Заголовок 7 Знак"/>
    <w:basedOn w:val="DefaultParagraphFont"/>
    <w:qFormat/>
    <w:rPr>
      <w:rFonts w:ascii="Arial" w:hAnsi="Arial" w:eastAsia="Arial" w:cs="Arial"/>
      <w:b/>
      <w:bCs/>
      <w:i/>
      <w:iCs/>
      <w:sz w:val="22"/>
      <w:szCs w:val="22"/>
    </w:rPr>
  </w:style>
  <w:style w:type="character" w:styleId="8" w:customStyle="1">
    <w:name w:val="Заголовок 8 Знак"/>
    <w:basedOn w:val="DefaultParagraphFont"/>
    <w:qFormat/>
    <w:rPr>
      <w:rFonts w:ascii="Arial" w:hAnsi="Arial" w:eastAsia="Arial" w:cs="Arial"/>
      <w:i/>
      <w:iCs/>
      <w:sz w:val="22"/>
      <w:szCs w:val="22"/>
    </w:rPr>
  </w:style>
  <w:style w:type="character" w:styleId="9" w:customStyle="1">
    <w:name w:val="Заголовок 9 Знак"/>
    <w:basedOn w:val="DefaultParagraphFont"/>
    <w:qFormat/>
    <w:rPr>
      <w:rFonts w:ascii="Arial" w:hAnsi="Arial" w:eastAsia="Arial" w:cs="Arial"/>
      <w:i/>
      <w:iCs/>
      <w:sz w:val="21"/>
      <w:szCs w:val="21"/>
    </w:rPr>
  </w:style>
  <w:style w:type="character" w:styleId="Style5" w:customStyle="1">
    <w:name w:val="Название Знак"/>
    <w:basedOn w:val="DefaultParagraphFont"/>
    <w:qFormat/>
    <w:rPr>
      <w:sz w:val="48"/>
      <w:szCs w:val="48"/>
    </w:rPr>
  </w:style>
  <w:style w:type="character" w:styleId="Style6" w:customStyle="1">
    <w:name w:val="Подзаголовок Знак"/>
    <w:basedOn w:val="DefaultParagraphFont"/>
    <w:qFormat/>
    <w:rPr>
      <w:sz w:val="24"/>
      <w:szCs w:val="24"/>
    </w:rPr>
  </w:style>
  <w:style w:type="character" w:styleId="2" w:customStyle="1">
    <w:name w:val="Цитата 2 Знак"/>
    <w:qFormat/>
    <w:rPr>
      <w:i/>
    </w:rPr>
  </w:style>
  <w:style w:type="character" w:styleId="Style7" w:customStyle="1">
    <w:name w:val="Выделенная цитата Знак"/>
    <w:qFormat/>
    <w:rPr>
      <w:i/>
    </w:rPr>
  </w:style>
  <w:style w:type="character" w:styleId="Style8" w:customStyle="1">
    <w:name w:val="Верхний колонтитул Знак"/>
    <w:basedOn w:val="DefaultParagraphFont"/>
    <w:qFormat/>
    <w:rPr/>
  </w:style>
  <w:style w:type="character" w:styleId="FooterChar" w:customStyle="1">
    <w:name w:val="Footer Char"/>
    <w:basedOn w:val="DefaultParagraphFont"/>
    <w:qFormat/>
    <w:rPr/>
  </w:style>
  <w:style w:type="character" w:styleId="Style9" w:customStyle="1">
    <w:name w:val="Нижний колонтитул Знак"/>
    <w:qFormat/>
    <w:rPr/>
  </w:style>
  <w:style w:type="character" w:styleId="1" w:customStyle="1">
    <w:name w:val="Гиперссылка1"/>
    <w:basedOn w:val="DefaultParagraphFont"/>
    <w:qFormat/>
    <w:rPr>
      <w:color w:val="0000FF"/>
      <w:u w:val="single"/>
    </w:rPr>
  </w:style>
  <w:style w:type="character" w:styleId="Style10" w:customStyle="1">
    <w:name w:val="Текст сноски Знак"/>
    <w:qFormat/>
    <w:rPr>
      <w:sz w:val="18"/>
    </w:rPr>
  </w:style>
  <w:style w:type="character" w:styleId="12" w:customStyle="1">
    <w:name w:val="Знак сноски1"/>
    <w:qFormat/>
    <w:rPr>
      <w:vertAlign w:val="superscript"/>
    </w:rPr>
  </w:style>
  <w:style w:type="character" w:styleId="FootnoteCharacters" w:customStyle="1">
    <w:name w:val="Footnote Characters"/>
    <w:basedOn w:val="DefaultParagraphFont"/>
    <w:qFormat/>
    <w:rPr>
      <w:vertAlign w:val="superscript"/>
    </w:rPr>
  </w:style>
  <w:style w:type="character" w:styleId="Style11" w:customStyle="1">
    <w:name w:val="Текст концевой сноски Знак"/>
    <w:qFormat/>
    <w:rPr>
      <w:sz w:val="20"/>
    </w:rPr>
  </w:style>
  <w:style w:type="character" w:styleId="13" w:customStyle="1">
    <w:name w:val="Знак концевой сноски1"/>
    <w:qFormat/>
    <w:rPr>
      <w:vertAlign w:val="superscript"/>
    </w:rPr>
  </w:style>
  <w:style w:type="character" w:styleId="EndnoteCharacters" w:customStyle="1">
    <w:name w:val="Endnote Characters"/>
    <w:basedOn w:val="DefaultParagraphFont"/>
    <w:qFormat/>
    <w:rPr>
      <w:vertAlign w:val="superscript"/>
    </w:rPr>
  </w:style>
  <w:style w:type="character" w:styleId="Style12" w:customStyle="1">
    <w:name w:val="Текст выноски Знак"/>
    <w:basedOn w:val="DefaultParagraphFont"/>
    <w:qFormat/>
    <w:rPr>
      <w:rFonts w:ascii="Segoe UI" w:hAnsi="Segoe UI" w:cs="Segoe UI"/>
      <w:sz w:val="18"/>
      <w:szCs w:val="18"/>
    </w:rPr>
  </w:style>
  <w:style w:type="character" w:styleId="14" w:customStyle="1">
    <w:name w:val="Заголовок 1 Знак"/>
    <w:basedOn w:val="DefaultParagraphFont"/>
    <w:qFormat/>
    <w:rPr>
      <w:rFonts w:ascii="Liberation Sans" w:hAnsi="Liberation Sans" w:eastAsia="Liberation Sans" w:cs="Liberation Sans"/>
      <w:b/>
      <w:color w:val="000000"/>
      <w:sz w:val="20"/>
      <w:lang w:eastAsia="ru-RU"/>
    </w:rPr>
  </w:style>
  <w:style w:type="character" w:styleId="22" w:customStyle="1">
    <w:name w:val="Заголовок 2 Знак"/>
    <w:basedOn w:val="DefaultParagraphFont"/>
    <w:qFormat/>
    <w:rPr>
      <w:rFonts w:ascii="Calibri Light" w:hAnsi="Calibri Light" w:eastAsia="Arial" w:cs="Arial"/>
      <w:color w:val="2E74B5"/>
      <w:sz w:val="26"/>
      <w:szCs w:val="26"/>
    </w:rPr>
  </w:style>
  <w:style w:type="character" w:styleId="Strong">
    <w:name w:val="Strong"/>
    <w:basedOn w:val="DefaultParagraphFont"/>
    <w:qFormat/>
    <w:rPr>
      <w:b/>
      <w:bCs/>
    </w:rPr>
  </w:style>
  <w:style w:type="character" w:styleId="Style13" w:customStyle="1">
    <w:name w:val="Цветовое выделение"/>
    <w:qFormat/>
    <w:rPr>
      <w:b/>
      <w:color w:val="26282F"/>
    </w:rPr>
  </w:style>
  <w:style w:type="character" w:styleId="Style14" w:customStyle="1">
    <w:name w:val="Гипертекстовая ссылка"/>
    <w:basedOn w:val="Style13"/>
    <w:qFormat/>
    <w:rPr>
      <w:rFonts w:cs="Times New Roman"/>
      <w:b w:val="false"/>
      <w:color w:val="106BBE"/>
    </w:rPr>
  </w:style>
  <w:style w:type="character" w:styleId="Hyperlink">
    <w:name w:val="Hyperlink"/>
    <w:rPr>
      <w:color w:val="000080"/>
      <w:u w:val="single"/>
    </w:rPr>
  </w:style>
  <w:style w:type="paragraph" w:styleId="Style15" w:customStyle="1">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6">
    <w:name w:val="Указатель"/>
    <w:basedOn w:val="Normal"/>
    <w:qFormat/>
    <w:pPr>
      <w:suppressLineNumbers/>
    </w:pPr>
    <w:rPr>
      <w:rFonts w:ascii="PT Astra Serif" w:hAnsi="PT Astra Serif" w:cs="FreeSans"/>
    </w:rPr>
  </w:style>
  <w:style w:type="paragraph" w:styleId="IndexHeading">
    <w:name w:val="index heading"/>
    <w:basedOn w:val="Style15"/>
    <w:pPr/>
    <w:rPr/>
  </w:style>
  <w:style w:type="paragraph" w:styleId="caption1" w:customStyle="1">
    <w:name w:val="caption1"/>
    <w:basedOn w:val="Normal"/>
    <w:qFormat/>
    <w:pPr>
      <w:suppressLineNumbers/>
      <w:spacing w:before="120" w:after="120"/>
    </w:pPr>
    <w:rPr>
      <w:rFonts w:ascii="PT Astra Serif" w:hAnsi="PT Astra Serif" w:cs="Noto Sans Devanagari"/>
      <w:i/>
      <w:iCs/>
      <w:sz w:val="24"/>
      <w:szCs w:val="24"/>
    </w:rPr>
  </w:style>
  <w:style w:type="paragraph" w:styleId="indexheading1" w:customStyle="1">
    <w:name w:val="index heading1"/>
    <w:basedOn w:val="Normal"/>
    <w:qFormat/>
    <w:pPr>
      <w:suppressLineNumbers/>
    </w:pPr>
    <w:rPr>
      <w:rFonts w:ascii="PT Astra Serif" w:hAnsi="PT Astra Serif" w:cs="Noto Sans Devanagari"/>
    </w:rPr>
  </w:style>
  <w:style w:type="paragraph" w:styleId="NoSpacing">
    <w:name w:val="No Spacing"/>
    <w:qFormat/>
    <w:pPr>
      <w:widowControl/>
      <w:suppressAutoHyphens w:val="true"/>
      <w:bidi w:val="0"/>
      <w:spacing w:before="0" w:after="0"/>
      <w:jc w:val="left"/>
    </w:pPr>
    <w:rPr>
      <w:rFonts w:ascii="Calibri" w:hAnsi="Calibri" w:eastAsia="Calibri" w:cs="Arial"/>
      <w:color w:val="auto"/>
      <w:kern w:val="0"/>
      <w:sz w:val="22"/>
      <w:szCs w:val="22"/>
      <w:lang w:val="ru-RU" w:eastAsia="en-US" w:bidi="ar-SA"/>
    </w:rPr>
  </w:style>
  <w:style w:type="paragraph" w:styleId="Title">
    <w:name w:val="Title"/>
    <w:basedOn w:val="Normal"/>
    <w:next w:val="Normal"/>
    <w:qFormat/>
    <w:pPr>
      <w:spacing w:before="300" w:after="200"/>
      <w:contextualSpacing/>
    </w:pPr>
    <w:rPr>
      <w:sz w:val="48"/>
      <w:szCs w:val="48"/>
    </w:rPr>
  </w:style>
  <w:style w:type="paragraph" w:styleId="Subtitle">
    <w:name w:val="Subtitle"/>
    <w:basedOn w:val="Normal"/>
    <w:next w:val="Normal"/>
    <w:qFormat/>
    <w:pPr>
      <w:spacing w:before="200" w:after="200"/>
    </w:pPr>
    <w:rPr>
      <w:sz w:val="24"/>
      <w:szCs w:val="24"/>
    </w:rPr>
  </w:style>
  <w:style w:type="paragraph" w:styleId="Quote">
    <w:name w:val="Quote"/>
    <w:basedOn w:val="Normal"/>
    <w:next w:val="Normal"/>
    <w:qFormat/>
    <w:pPr>
      <w:ind w:left="720" w:right="720"/>
    </w:pPr>
    <w:rPr>
      <w:i/>
    </w:rPr>
  </w:style>
  <w:style w:type="paragraph" w:styleId="IntenseQuote">
    <w:name w:val="Intense Quote"/>
    <w:basedOn w:val="Normal"/>
    <w:next w:val="Normal"/>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Style17" w:customStyle="1">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18" w:customStyle="1">
    <w:name w:val="Колонтитул"/>
    <w:basedOn w:val="Normal"/>
    <w:qFormat/>
    <w:pPr/>
    <w:rPr/>
  </w:style>
  <w:style w:type="paragraph" w:styleId="HeaderandFooter">
    <w:name w:val="Header and Footer"/>
    <w:basedOn w:val="Normal"/>
    <w:qFormat/>
    <w:pPr/>
    <w:rPr/>
  </w:style>
  <w:style w:type="paragraph" w:styleId="Header">
    <w:name w:val="header"/>
    <w:basedOn w:val="Normal"/>
    <w:pPr>
      <w:tabs>
        <w:tab w:val="clear" w:pos="708"/>
        <w:tab w:val="center" w:pos="7143" w:leader="none"/>
        <w:tab w:val="right" w:pos="14287" w:leader="none"/>
      </w:tabs>
      <w:spacing w:lineRule="auto" w:line="240" w:before="0" w:after="0"/>
    </w:pPr>
    <w:rPr/>
  </w:style>
  <w:style w:type="paragraph" w:styleId="FootnoteText">
    <w:name w:val="footnote text"/>
    <w:basedOn w:val="Normal"/>
    <w:pPr>
      <w:spacing w:lineRule="auto" w:line="240" w:before="0" w:after="40"/>
    </w:pPr>
    <w:rPr>
      <w:sz w:val="18"/>
    </w:rPr>
  </w:style>
  <w:style w:type="paragraph" w:styleId="EndnoteText">
    <w:name w:val="endnote text"/>
    <w:basedOn w:val="Normal"/>
    <w:pPr>
      <w:spacing w:lineRule="auto" w:line="240" w:before="0" w:after="0"/>
    </w:pPr>
    <w:rPr>
      <w:sz w:val="20"/>
    </w:rPr>
  </w:style>
  <w:style w:type="paragraph" w:styleId="TOC1">
    <w:name w:val="toc 1"/>
    <w:basedOn w:val="Normal"/>
    <w:next w:val="Normal"/>
    <w:pPr>
      <w:spacing w:before="0" w:after="57"/>
    </w:pPr>
    <w:rPr/>
  </w:style>
  <w:style w:type="paragraph" w:styleId="TOC2">
    <w:name w:val="toc 2"/>
    <w:basedOn w:val="Normal"/>
    <w:next w:val="Normal"/>
    <w:pPr>
      <w:spacing w:before="0" w:after="57"/>
      <w:ind w:left="283"/>
    </w:pPr>
    <w:rPr/>
  </w:style>
  <w:style w:type="paragraph" w:styleId="TOC3">
    <w:name w:val="toc 3"/>
    <w:basedOn w:val="Normal"/>
    <w:next w:val="Normal"/>
    <w:pPr>
      <w:spacing w:before="0" w:after="57"/>
      <w:ind w:left="567"/>
    </w:pPr>
    <w:rPr/>
  </w:style>
  <w:style w:type="paragraph" w:styleId="TOC4">
    <w:name w:val="toc 4"/>
    <w:basedOn w:val="Normal"/>
    <w:next w:val="Normal"/>
    <w:pPr>
      <w:spacing w:before="0" w:after="57"/>
      <w:ind w:left="850"/>
    </w:pPr>
    <w:rPr/>
  </w:style>
  <w:style w:type="paragraph" w:styleId="TOC5">
    <w:name w:val="toc 5"/>
    <w:basedOn w:val="Normal"/>
    <w:next w:val="Normal"/>
    <w:pPr>
      <w:spacing w:before="0" w:after="57"/>
      <w:ind w:left="1134"/>
    </w:pPr>
    <w:rPr/>
  </w:style>
  <w:style w:type="paragraph" w:styleId="TOC6">
    <w:name w:val="toc 6"/>
    <w:basedOn w:val="Normal"/>
    <w:next w:val="Normal"/>
    <w:pPr>
      <w:spacing w:before="0" w:after="57"/>
      <w:ind w:left="1417"/>
    </w:pPr>
    <w:rPr/>
  </w:style>
  <w:style w:type="paragraph" w:styleId="TOC7">
    <w:name w:val="toc 7"/>
    <w:basedOn w:val="Normal"/>
    <w:next w:val="Normal"/>
    <w:pPr>
      <w:spacing w:before="0" w:after="57"/>
      <w:ind w:left="1701"/>
    </w:pPr>
    <w:rPr/>
  </w:style>
  <w:style w:type="paragraph" w:styleId="TOC8">
    <w:name w:val="toc 8"/>
    <w:basedOn w:val="Normal"/>
    <w:next w:val="Normal"/>
    <w:pPr>
      <w:spacing w:before="0" w:after="57"/>
      <w:ind w:left="1984"/>
    </w:pPr>
    <w:rPr/>
  </w:style>
  <w:style w:type="paragraph" w:styleId="TOC9">
    <w:name w:val="toc 9"/>
    <w:basedOn w:val="Normal"/>
    <w:next w:val="Normal"/>
    <w:pPr>
      <w:spacing w:before="0" w:after="57"/>
      <w:ind w:left="2268"/>
    </w:pPr>
    <w:rPr/>
  </w:style>
  <w:style w:type="paragraph" w:styleId="TOCHeading">
    <w:name w:val="TOC Heading"/>
    <w:qFormat/>
    <w:pPr>
      <w:widowControl/>
      <w:suppressAutoHyphens w:val="true"/>
      <w:bidi w:val="0"/>
      <w:spacing w:before="0" w:after="0"/>
      <w:jc w:val="left"/>
    </w:pPr>
    <w:rPr>
      <w:rFonts w:ascii="Calibri" w:hAnsi="Calibri" w:eastAsia="Calibri" w:cs="Arial"/>
      <w:color w:val="auto"/>
      <w:kern w:val="0"/>
      <w:sz w:val="22"/>
      <w:szCs w:val="22"/>
      <w:lang w:val="ru-RU" w:eastAsia="en-US" w:bidi="ar-SA"/>
    </w:rPr>
  </w:style>
  <w:style w:type="paragraph" w:styleId="TableofFigures">
    <w:name w:val="table of figures"/>
    <w:basedOn w:val="Normal"/>
    <w:next w:val="Normal"/>
    <w:qFormat/>
    <w:pPr>
      <w:spacing w:before="0" w:after="0"/>
    </w:pPr>
    <w:rPr/>
  </w:style>
  <w:style w:type="paragraph" w:styleId="ListParagraph">
    <w:name w:val="List Paragraph"/>
    <w:basedOn w:val="Normal"/>
    <w:qFormat/>
    <w:pPr>
      <w:spacing w:before="0" w:after="160"/>
      <w:ind w:left="720"/>
      <w:contextualSpacing/>
    </w:pPr>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ConsPlusNormal" w:customStyle="1">
    <w:name w:val="ConsPlusNormal"/>
    <w:qFormat/>
    <w:pPr>
      <w:widowControl w:val="false"/>
      <w:suppressAutoHyphens w:val="true"/>
      <w:bidi w:val="0"/>
      <w:spacing w:before="0" w:after="0"/>
      <w:jc w:val="left"/>
    </w:pPr>
    <w:rPr>
      <w:rFonts w:ascii="Liberation Serif" w:hAnsi="Liberation Serif" w:eastAsia="Times New Roman" w:cs="Calibri"/>
      <w:color w:val="auto"/>
      <w:kern w:val="0"/>
      <w:sz w:val="24"/>
      <w:szCs w:val="20"/>
      <w:lang w:eastAsia="ru-RU" w:bidi="hi-IN" w:val="ru-RU"/>
    </w:rPr>
  </w:style>
  <w:style w:type="paragraph" w:styleId="Standard" w:customStyle="1">
    <w:name w:val="Standard"/>
    <w:qFormat/>
    <w:pPr>
      <w:widowControl/>
      <w:suppressAutoHyphens w:val="true"/>
      <w:bidi w:val="0"/>
      <w:spacing w:before="0" w:after="0"/>
      <w:jc w:val="left"/>
    </w:pPr>
    <w:rPr>
      <w:rFonts w:ascii="Liberation Serif" w:hAnsi="Liberation Serif" w:eastAsia="Tahoma" w:cs="Noto Sans Devanagari"/>
      <w:color w:val="auto"/>
      <w:kern w:val="0"/>
      <w:sz w:val="24"/>
      <w:szCs w:val="24"/>
      <w:lang w:eastAsia="zh-CN" w:bidi="hi-IN" w:val="ru-RU"/>
    </w:rPr>
  </w:style>
  <w:style w:type="paragraph" w:styleId="Default" w:customStyle="1">
    <w:name w:val="Default"/>
    <w:qFormat/>
    <w:pPr>
      <w:widowControl/>
      <w:suppressAutoHyphens w:val="true"/>
      <w:bidi w:val="0"/>
      <w:spacing w:before="0" w:after="0"/>
      <w:jc w:val="left"/>
    </w:pPr>
    <w:rPr>
      <w:rFonts w:ascii="Times New Roman" w:hAnsi="Times New Roman" w:eastAsia="Tahoma" w:cs="Times New Roman"/>
      <w:color w:val="000000"/>
      <w:kern w:val="0"/>
      <w:sz w:val="24"/>
      <w:szCs w:val="24"/>
      <w:lang w:eastAsia="zh-CN" w:bidi="hi-IN" w:val="ru-RU"/>
    </w:rPr>
  </w:style>
  <w:style w:type="paragraph" w:styleId="NormalWeb">
    <w:name w:val="Normal (Web)"/>
    <w:basedOn w:val="Normal"/>
    <w:qFormat/>
    <w:pPr>
      <w:spacing w:lineRule="auto" w:line="240" w:before="280" w:after="280"/>
    </w:pPr>
    <w:rPr>
      <w:rFonts w:ascii="Times New Roman" w:hAnsi="Times New Roman" w:eastAsia="Tahoma" w:cs="Noto Sans Devanagari"/>
      <w:sz w:val="24"/>
      <w:szCs w:val="24"/>
      <w:lang w:eastAsia="ru-RU"/>
    </w:rPr>
  </w:style>
  <w:style w:type="paragraph" w:styleId="Footer">
    <w:name w:val="footer"/>
    <w:basedOn w:val="Style17"/>
    <w:pPr/>
    <w:rPr/>
  </w:style>
  <w:style w:type="numbering" w:styleId="Style19"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CE6B9BF0D72FD8958AC669D40AAEE11A1F21A79F63DCF50F6493034BB2CF0F6EB9084C0BB76154AF759F6160A4DFcFI" TargetMode="External"/><Relationship Id="rId3" Type="http://schemas.openxmlformats.org/officeDocument/2006/relationships/hyperlink" Target="consultantplus://offline/ref=CE6B9BF0D72FD8958AC677D91CC2BE111522FE9262D4F6513CC7051CED9F093BEB481252F62347AE72816361A3F6EF78EEEB10C96DAD44F813265DFBDFc5I" TargetMode="External"/><Relationship Id="rId4" Type="http://schemas.openxmlformats.org/officeDocument/2006/relationships/hyperlink" Target="https://www.consultant.ru/document/cons_doc_LAW_436790/" TargetMode="External"/><Relationship Id="rId5" Type="http://schemas.openxmlformats.org/officeDocument/2006/relationships/hyperlink" Target="http://publication.pravo.gov.ru/Document/View/0001202007210012"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248B9-8232-485A-A2D5-CCBCD888C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LibreOffice/24.8.4.2$Linux_X86_64 LibreOffice_project/480$Build-2</Application>
  <AppVersion>15.0000</AppVersion>
  <DocSecurity>4</DocSecurity>
  <Pages>7</Pages>
  <Words>2069</Words>
  <Characters>16029</Characters>
  <CharactersWithSpaces>19193</CharactersWithSpaces>
  <Paragraphs>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2026-01-30T06:12:00Z</dcterms:created>
  <dc:creator>Спесивцева Ирина Романовна</dc:creator>
  <dc:description/>
  <dc:language>ru-RU</dc:language>
  <cp:lastModifiedBy/>
  <cp:lastPrinted>2026-01-20T06:20:00Z</cp:lastPrinted>
  <dcterms:modified xsi:type="dcterms:W3CDTF">2026-01-30T11:14:31Z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