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5670" w:leader="none"/>
        </w:tabs>
        <w:suppressAutoHyphens w:val="true"/>
        <w:spacing w:lineRule="auto" w:line="240" w:before="0" w:after="0"/>
        <w:ind w:left="5670"/>
        <w:jc w:val="center"/>
        <w:rPr>
          <w:rFonts w:ascii="Times New Roman" w:hAnsi="Times New Roman" w:eastAsia="Times New Roman" w:cs="Times New Roman"/>
          <w:sz w:val="24"/>
          <w:szCs w:val="24"/>
          <w:lang w:eastAsia="zh-CN"/>
        </w:rPr>
      </w:pPr>
      <w:bookmarkStart w:id="0" w:name="_GoBack"/>
      <w:bookmarkEnd w:id="0"/>
      <w:r>
        <w:rPr>
          <w:rFonts w:eastAsia="Times New Roman" w:cs="Times New Roman" w:ascii="Times New Roman" w:hAnsi="Times New Roman"/>
          <w:sz w:val="28"/>
          <w:szCs w:val="28"/>
          <w:lang w:eastAsia="zh-CN"/>
        </w:rPr>
        <w:t>УТВЕРЖДЕНА</w:t>
      </w:r>
    </w:p>
    <w:p>
      <w:pPr>
        <w:pStyle w:val="Normal"/>
        <w:tabs>
          <w:tab w:val="clear" w:pos="708"/>
          <w:tab w:val="left" w:pos="5670" w:leader="none"/>
        </w:tabs>
        <w:suppressAutoHyphens w:val="true"/>
        <w:spacing w:lineRule="auto" w:line="240" w:before="0" w:after="0"/>
        <w:ind w:left="5670"/>
        <w:jc w:val="center"/>
        <w:rPr>
          <w:rFonts w:ascii="Times New Roman" w:hAnsi="Times New Roman" w:eastAsia="Times New Roman" w:cs="Times New Roman"/>
          <w:sz w:val="24"/>
          <w:szCs w:val="24"/>
          <w:lang w:eastAsia="zh-CN"/>
        </w:rPr>
      </w:pPr>
      <w:r>
        <w:rPr>
          <w:rFonts w:eastAsia="Times New Roman" w:cs="Times New Roman" w:ascii="Times New Roman" w:hAnsi="Times New Roman"/>
          <w:sz w:val="28"/>
          <w:szCs w:val="28"/>
          <w:lang w:eastAsia="zh-CN"/>
        </w:rPr>
        <w:t>распоряжением администрации</w:t>
      </w:r>
    </w:p>
    <w:p>
      <w:pPr>
        <w:pStyle w:val="Normal"/>
        <w:tabs>
          <w:tab w:val="clear" w:pos="708"/>
          <w:tab w:val="left" w:pos="5387" w:leader="none"/>
          <w:tab w:val="left" w:pos="5670" w:leader="none"/>
        </w:tabs>
        <w:suppressAutoHyphens w:val="true"/>
        <w:spacing w:lineRule="auto" w:line="240" w:before="0" w:after="0"/>
        <w:ind w:left="567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Копейского городского округа</w:t>
      </w:r>
    </w:p>
    <w:p>
      <w:pPr>
        <w:pStyle w:val="Normal"/>
        <w:tabs>
          <w:tab w:val="clear" w:pos="708"/>
          <w:tab w:val="left" w:pos="5387" w:leader="none"/>
          <w:tab w:val="left" w:pos="5670" w:leader="none"/>
        </w:tabs>
        <w:suppressAutoHyphens w:val="true"/>
        <w:spacing w:lineRule="auto" w:line="240" w:before="0" w:after="0"/>
        <w:ind w:left="567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Челябинской области</w:t>
      </w:r>
    </w:p>
    <w:p>
      <w:pPr>
        <w:pStyle w:val="Normal"/>
        <w:tabs>
          <w:tab w:val="clear" w:pos="708"/>
          <w:tab w:val="left" w:pos="5670" w:leader="none"/>
          <w:tab w:val="left" w:pos="7690" w:leader="none"/>
        </w:tabs>
        <w:suppressAutoHyphens w:val="true"/>
        <w:spacing w:lineRule="auto" w:line="240" w:before="0" w:after="0"/>
        <w:ind w:left="567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от 01.11.2024 № 878-р</w:t>
      </w:r>
    </w:p>
    <w:p>
      <w:pPr>
        <w:pStyle w:val="Normal"/>
        <w:tabs>
          <w:tab w:val="clear" w:pos="708"/>
          <w:tab w:val="left" w:pos="5670" w:leader="none"/>
          <w:tab w:val="left" w:pos="7690" w:leader="none"/>
        </w:tabs>
        <w:suppressAutoHyphens w:val="true"/>
        <w:spacing w:lineRule="auto" w:line="240" w:before="0" w:after="0"/>
        <w:ind w:left="567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(в редакции распоряжения администрации Копейского городского округа</w:t>
      </w:r>
    </w:p>
    <w:p>
      <w:pPr>
        <w:pStyle w:val="Normal"/>
        <w:tabs>
          <w:tab w:val="clear" w:pos="708"/>
          <w:tab w:val="left" w:pos="5670" w:leader="none"/>
          <w:tab w:val="left" w:pos="7690" w:leader="none"/>
        </w:tabs>
        <w:suppressAutoHyphens w:val="true"/>
        <w:spacing w:lineRule="auto" w:line="240" w:before="0" w:after="0"/>
        <w:ind w:left="567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от </w:t>
      </w:r>
      <w:r>
        <w:rPr>
          <w:rFonts w:eastAsia="Times New Roman" w:cs="Times New Roman" w:ascii="Times New Roman" w:hAnsi="Times New Roman"/>
          <w:sz w:val="28"/>
          <w:szCs w:val="28"/>
          <w:u w:val="single"/>
          <w:lang w:eastAsia="zh-CN"/>
        </w:rPr>
        <w:t>02.02.2026</w:t>
      </w:r>
      <w:r>
        <w:rPr>
          <w:rFonts w:eastAsia="Times New Roman" w:cs="Times New Roman" w:ascii="Times New Roman" w:hAnsi="Times New Roman"/>
          <w:sz w:val="28"/>
          <w:szCs w:val="28"/>
          <w:u w:val="single"/>
          <w:lang w:eastAsia="zh-CN"/>
        </w:rPr>
        <w:t xml:space="preserve"> № </w:t>
      </w:r>
      <w:r>
        <w:rPr>
          <w:rFonts w:eastAsia="Times New Roman" w:cs="Times New Roman" w:ascii="Times New Roman" w:hAnsi="Times New Roman"/>
          <w:sz w:val="28"/>
          <w:szCs w:val="28"/>
          <w:u w:val="single"/>
          <w:lang w:eastAsia="zh-CN"/>
        </w:rPr>
        <w:t>64-р</w:t>
      </w:r>
      <w:r>
        <w:rPr>
          <w:rFonts w:eastAsia="Times New Roman" w:cs="Times New Roman" w:ascii="Times New Roman" w:hAnsi="Times New Roman"/>
          <w:sz w:val="28"/>
          <w:szCs w:val="28"/>
          <w:lang w:eastAsia="zh-CN"/>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Муниципальная программа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«Развитие физической культуры и спорта в Копейском городском округе»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(далее по тексту – муниципальная программа)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I. Оценка текущего состояния соответствующей сферы социально-экономического развития муниципального образования.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Текущее состояние сферы физической культуры и спорта в Копейском городском округе (далее по тексту – округ) характеризуется положительными тенденциями, связанными с ростом популярности здорового образа жизни, занятий физической культурой и спортом, развитием спортивной инфраструктуры, успехами в спорте высших достижений.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За период с 2018 года по 2024 год благодаря реализации муниципальной программы удалось довести долю горожан, регулярно занимающихся физической культурой и спортом, с 34,4 % (в 2018 году)  до 66,5 % (в 2024 году) от общего числа жителей города, увеличить уровень обеспеченности населения округа спортивными сооружениями исходя из единовременной пропускной способности объектов спорта с 31,6 % (в 2018 году) до 39,55 % (в 2024 году). На территории округа проводится реализация мероприятий Всероссийского физкультурно-спортивного комплекса «Готов к труду и обороне» (ГТО). Каждый желающий может принять участие в сдаче нормативов ГТО.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Значимую роль в вовлечении населения в систематические занятия физической культурой и спортом занимает проведение массовых физкультурно-спортивных мероприятий. Ежегодно в округе проводятся физкультурно-спортивные мероприятия различного уровня, такие как Региональный турнир по боксу, посвященный памяти тренера Бориса Анферова, открытый турнир по боксу «Первая перчатка», Военизированная эстафета, Легкоатлетическая эстафета, Всероссийские соревнования класса «А» памяти дважды Героя Советского Союза С.В. Хохрякова, традиционный открытый турнир по борьбе дзюдо памяти заслуженного учителя профтехобразования А.И. Тамочкина и многие другие.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II. Описание приоритетов и целей муниципальной политики в сфере реализации муниципальной программы (в том числе в соответствии со Стратегией социально-экономического развития Копейского городского округа на период </w:t>
        <w:br/>
        <w:t>до 2035 года).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Приоритеты муниципальной политики в сфере реализации муниципальной программы: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Государственная программа «Развитие физической культуры и спорта в Челябинской области», утвержденная постановлением Правительства Челябинской области от 25.12.2020 № 733-п;</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Стратегия социально-экономического развития Копейского городского округа на период до 2035 года, утвержденная решением Собрания депутатов округа от 19.12.2018 № 635-МО (в редакции решения Собрания депутатов округа от 30.11.2022 № 647-МО).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соответствии с указанными нормативными правовыми документами определены цели и задачи, сформированы структура и показатели муниципальной программы.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целях реализации одной из основных стратегических целей в Стратегии социально-экономического развития округа «Создание условий, обеспечивающих возможность развития физической культуры и массового спорта, а также пропаганда здорового образа жизни на территории городского округа» определены следующие цели муниципальной программы: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Повышение уровня обеспеченности населения округа объектами спорта.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 Обеспечение условий для организации и проведения спортивно-массовой и физкультурно-оздоровительной работы с различными категориями и группами населения.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Для решения поставленных целей в муниципальной программе предусмотрено выполнение определенных задач. Для оценки хода реализации муниципальной программы предусмотрена система показателей.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Основным ожидаемым конечным результатом реализации муниципальной программы является устойчивое развитие физической культуры и спорта в округе, что характеризуется ростом количественных и качественных показателей.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Решение поставленных задач и достижение значений показателей муниципальной программы предусматриваются путем эффективного взаимодействия управления физической культуры, спорта и туризма администрации округа и Министерства по физической культуре и спорту Челябинской области.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III. Сведения о взаимоувязке со стратегическими приоритетами, целями и показателями государственных программ</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Цели, задачи и показатели муниципальной программы сформированы с учетом выполнения задач и показателей Стратегии развития физической культуры и спорта в Российской Федерации на период до 2030 года, утвержденной распоряжением Правительства Российской Федерации от 24.11.2020 № 3081-р и Государственной программой Челябинской области «Развитие физической культуры и спорта в Челябинской области», утвержденной постановлением Правительства Челябинской области от 25.12.2020 № 733-п.</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IV. Задачи муниципального управления, способы их эффективного решения в соответствующей отрасли экономики и сфере муниципального управления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Для достижения цели «Повышение уровня обеспеченности населения округа объектами спорта» предусмотрено выполнение задачи «Капитальные вложения в объекты физической культуры и спорта, находящиеся в муниципальной собственности».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Решение данной задачи обеспечивается посредством реализации мероприятия, предусмотренного проектом «Развитие спортивной инфраструктуры», которое предполагается осуществлять путем получения субсидий из областного бюджета местным бюджетам на условиях достижения следующего результата: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строительство физкультурно-спортивного комплекса по ул. Жданова, 26 в г. Копейске Челябинской области.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Для достижения цели «Обеспечение условий для организации и проведения спортивно-массовой и физкультурно-оздоровительной работы с различными категориями и группами населения» предусмотрено выполнение следующих задач:</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обеспечение деятельности учреждений, подведомственных управлению физической культуры, спорта и туризма администрации Копейского городского округа;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 обеспечение деятельности и выполнение функций управления физической культуры, спорта и туризма администрации Копейского городского округа;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 организация и проведение массовых физкультурно-оздоровительных и спортивных мероприятий;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 реализация мероприятий Всероссийского физкультурно-спортивного комплекса «Готов к труду и обороне» (ГТО);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5) обеспечение условий для привлечения граждан к занятиям физической культурой и спортом.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Решение данных задач обеспечивается посредством реализации комплекса процессных мероприятий «Обеспечение развития и совершенствования системы физической культуры и спорта», которые предполагается осуществлять путем получения субсидий из областного и местного бюджетов на условиях достижения следующих результатов: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финансовое обеспечение муниципального задания на оказание муниципальных услуг;</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обеспечение функций органов местного самоуправления;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проведение физкультурно-спортивных мероприятий;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проведение испытаний (тестов) Всероссийского физкультурно-спортивного комплекса «Готов к труду и обороне» (ГТО);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оплата услуг спортивных судей и инструкторов по спорту, организующих работу с населением по выполнению нормативов испытаний (тестов) Всероссийского физкультурно-спортивного комплекса «Готов к труду и обороне» в центрах тестирования, созданных муниципальными образованиями;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обеспечение подготовки и участие спортсменов (ведущих спортсменов) и сборных команд округа в соревнованиях различного уровня, участие в тренировочных сборах, оплата турнирных взносов;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оплата услуг специалистов по организации физкультурно-оздоровительной и спортивно-массовой работы с детьми и молодежью в возрасте от 6 до 29 лет;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оплата услуг специалистов по организации физкультурно-оздоровительной и спортивно-массовой работы с населением среднего возраста;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оплата услуг специалистов по организации физкультурно-оздоровительной и спортивно-массовой работы с населением старшего возраста;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ремонт объектов спорта (в том числе экспертиза выполненных работ, установка ограждения и др.);</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подготовка проектно-сметной документации, в том числе экспертиза проектно-сметной документации;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приобретение спортивного инвентаря и оборудования для спортивных школ и физкультурно-спортивных организаций;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финансовая поддержка муниципальных учреждений спортивной подготовки на этапах спортивной специализации, в том числе для приобретения спортивного инвентаря и оборудования;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совершенствование спортивной инфраструктуры и материально-технической базы для занятий физической культурой и спортом;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содержание, развитие и поддержка автономной некоммерческой организации «Мини-футбольный клуб «Сигма-К»;</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 повышение квалификации тренеров, тренеров-преподавателей муниципальных учреждений, реализующих программы спортивной подготовки и дополнительные образовательные программы спортивной подготовки;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государственная поддержка организаций, входящих в систему спортивной подготовки;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обустройство инфраструктуры спортивного объекта в пос. Октябрьский.</w:t>
      </w:r>
    </w:p>
    <w:sectPr>
      <w:headerReference w:type="even" r:id="rId2"/>
      <w:headerReference w:type="default" r:id="rId3"/>
      <w:headerReference w:type="first" r:id="rId4"/>
      <w:type w:val="nextPage"/>
      <w:pgSz w:w="11906" w:h="16838"/>
      <w:pgMar w:left="1701" w:right="567"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swiss"/>
    <w:pitch w:val="default"/>
  </w:font>
  <w:font w:name="PT Astra Serif">
    <w:charset w:val="01"/>
    <w:family w:val="roman"/>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25847761"/>
    </w:sdtPr>
    <w:sdtContent>
      <w:p>
        <w:pPr>
          <w:pStyle w:val="Header"/>
          <w:jc w:val="center"/>
          <w:rPr/>
        </w:pPr>
        <w:r>
          <w:rPr/>
          <w:fldChar w:fldCharType="begin"/>
        </w:r>
        <w:r>
          <w:rPr/>
          <w:instrText xml:space="preserve"> PAGE </w:instrText>
        </w:r>
        <w:r>
          <w:rPr/>
          <w:fldChar w:fldCharType="separate"/>
        </w:r>
        <w:r>
          <w:rPr/>
          <w:t>4</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b36cdc"/>
    <w:rPr>
      <w:rFonts w:ascii="Tahoma" w:hAnsi="Tahoma" w:cs="Tahoma"/>
      <w:sz w:val="16"/>
      <w:szCs w:val="16"/>
    </w:rPr>
  </w:style>
  <w:style w:type="character" w:styleId="Style15" w:customStyle="1">
    <w:name w:val="Верхний колонтитул Знак"/>
    <w:basedOn w:val="DefaultParagraphFont"/>
    <w:uiPriority w:val="99"/>
    <w:qFormat/>
    <w:rsid w:val="00f82073"/>
    <w:rPr/>
  </w:style>
  <w:style w:type="character" w:styleId="Style16" w:customStyle="1">
    <w:name w:val="Нижний колонтитул Знак"/>
    <w:basedOn w:val="DefaultParagraphFont"/>
    <w:uiPriority w:val="99"/>
    <w:qFormat/>
    <w:rsid w:val="00f82073"/>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BalloonText">
    <w:name w:val="Balloon Text"/>
    <w:basedOn w:val="Normal"/>
    <w:link w:val="Style14"/>
    <w:uiPriority w:val="99"/>
    <w:semiHidden/>
    <w:unhideWhenUsed/>
    <w:qFormat/>
    <w:rsid w:val="00b36cdc"/>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Style15"/>
    <w:uiPriority w:val="99"/>
    <w:unhideWhenUsed/>
    <w:rsid w:val="00f82073"/>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f82073"/>
    <w:pPr>
      <w:tabs>
        <w:tab w:val="clear" w:pos="708"/>
        <w:tab w:val="center" w:pos="4677" w:leader="none"/>
        <w:tab w:val="right" w:pos="9355" w:leader="none"/>
      </w:tabs>
      <w:spacing w:lineRule="auto" w:line="240" w:before="0" w:after="0"/>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LibreOffice/24.8.4.2$Linux_X86_64 LibreOffice_project/480$Build-2</Application>
  <AppVersion>15.0000</AppVersion>
  <DocSecurity>4</DocSecurity>
  <Pages>4</Pages>
  <Words>1046</Words>
  <Characters>8083</Characters>
  <CharactersWithSpaces>9078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2026-02-02T05:31:00Z</dcterms:created>
  <dc:creator>Кирилл А. Стамиков</dc:creator>
  <dc:description/>
  <dc:language>ru-RU</dc:language>
  <cp:lastModifiedBy/>
  <cp:lastPrinted>2026-01-19T09:48:00Z</cp:lastPrinted>
  <dcterms:modified xsi:type="dcterms:W3CDTF">2026-02-02T10:36:36Z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