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eastAsia="Calibri" w:eastAsiaTheme="minorHAnsi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  <w:r>
        <w:rPr/>
        <w:t>УТВЕРЖДЕН</w:t>
      </w:r>
    </w:p>
    <w:p>
      <w:pPr>
        <w:pStyle w:val="Normal"/>
        <w:spacing w:before="0" w:after="0"/>
        <w:ind w:left="9498"/>
        <w:contextualSpacing/>
        <w:jc w:val="center"/>
        <w:rPr/>
      </w:pPr>
      <w:r>
        <w:rPr/>
        <w:t xml:space="preserve">             </w:t>
      </w:r>
      <w:r>
        <w:rPr/>
        <w:t>Протоколом управляющего совета</w:t>
      </w:r>
    </w:p>
    <w:p>
      <w:pPr>
        <w:pStyle w:val="Normal"/>
        <w:spacing w:before="0" w:after="0"/>
        <w:ind w:left="9498"/>
        <w:contextualSpacing/>
        <w:jc w:val="center"/>
        <w:rPr/>
      </w:pPr>
      <w:r>
        <w:rPr/>
        <w:t xml:space="preserve">               </w:t>
      </w:r>
      <w:r>
        <w:rPr/>
        <w:t xml:space="preserve">муниципальной программы </w:t>
      </w:r>
    </w:p>
    <w:p>
      <w:pPr>
        <w:pStyle w:val="Normal"/>
        <w:spacing w:before="0" w:after="0"/>
        <w:ind w:left="9498"/>
        <w:contextualSpacing/>
        <w:jc w:val="center"/>
        <w:rPr/>
      </w:pPr>
      <w:r>
        <w:rPr/>
        <w:t xml:space="preserve">                </w:t>
      </w:r>
      <w:r>
        <w:rPr/>
        <w:t>«Развитие муниципальной системы</w:t>
      </w:r>
    </w:p>
    <w:p>
      <w:pPr>
        <w:pStyle w:val="Normal"/>
        <w:tabs>
          <w:tab w:val="clear" w:pos="708"/>
          <w:tab w:val="left" w:pos="6385" w:leader="none"/>
          <w:tab w:val="left" w:pos="12225" w:leader="none"/>
        </w:tabs>
        <w:spacing w:before="0" w:after="0"/>
        <w:contextualSpacing/>
        <w:jc w:val="right"/>
        <w:rPr>
          <w:sz w:val="28"/>
          <w:szCs w:val="28"/>
        </w:rPr>
      </w:pPr>
      <w:r>
        <w:rPr/>
        <w:t xml:space="preserve">   </w:t>
      </w:r>
      <w:r>
        <w:rPr/>
        <w:t>образования Копейского городского округа</w:t>
      </w:r>
      <w:r>
        <w:rPr>
          <w:sz w:val="28"/>
          <w:szCs w:val="28"/>
        </w:rPr>
        <w:t>»</w:t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/>
      </w:pPr>
      <w:r>
        <w:rPr/>
        <w:tab/>
        <w:tab/>
        <w:tab/>
        <w:tab/>
        <w:tab/>
        <w:tab/>
      </w:r>
      <w:r>
        <w:rPr>
          <w:u w:val="single"/>
        </w:rPr>
        <w:t>23.01.2026 №5</w:t>
      </w:r>
    </w:p>
    <w:p>
      <w:pPr>
        <w:pStyle w:val="Normal"/>
        <w:tabs>
          <w:tab w:val="clear" w:pos="708"/>
          <w:tab w:val="left" w:pos="6385" w:leader="none"/>
          <w:tab w:val="center" w:pos="7285" w:leader="none"/>
          <w:tab w:val="left" w:pos="9639" w:leader="none"/>
        </w:tabs>
        <w:spacing w:before="0" w:after="0"/>
        <w:contextualSpacing/>
        <w:jc w:val="center"/>
        <w:rPr/>
      </w:pPr>
      <w:r>
        <w:rPr/>
        <w:t>ПАСПОРТ</w:t>
      </w:r>
    </w:p>
    <w:p>
      <w:pPr>
        <w:pStyle w:val="Normal"/>
        <w:spacing w:before="0" w:after="0"/>
        <w:contextualSpacing/>
        <w:jc w:val="center"/>
        <w:rPr/>
      </w:pPr>
      <w:r>
        <w:rPr/>
        <w:t>комплекса процессных мероприятий</w:t>
      </w:r>
    </w:p>
    <w:p>
      <w:pPr>
        <w:pStyle w:val="Normal"/>
        <w:spacing w:before="0" w:after="0"/>
        <w:contextualSpacing/>
        <w:jc w:val="center"/>
        <w:rPr/>
      </w:pPr>
      <w:r>
        <w:rPr/>
        <w:t>«Обеспечение комплексной безопасности образовательных организаций»</w:t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p>
      <w:pPr>
        <w:pStyle w:val="ListParagraph"/>
        <w:rPr/>
      </w:pPr>
      <w:r>
        <w:rPr/>
      </w:r>
    </w:p>
    <w:tbl>
      <w:tblPr>
        <w:tblW w:w="5000" w:type="pct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317"/>
        <w:gridCol w:w="7819"/>
      </w:tblGrid>
      <w:tr>
        <w:trPr>
          <w:trHeight w:val="351" w:hRule="atLeast"/>
          <w:cantSplit w:val="true"/>
        </w:trPr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Ответственный исполнитель комплекса процессных мероприятий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Начальник управления образования администрации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 xml:space="preserve"> </w:t>
            </w:r>
            <w:r>
              <w:rPr/>
              <w:t>Хлынина Марина Николаевна</w:t>
            </w:r>
          </w:p>
        </w:tc>
      </w:tr>
      <w:tr>
        <w:trPr>
          <w:trHeight w:val="286" w:hRule="atLeast"/>
          <w:cantSplit w:val="true"/>
        </w:trPr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Наименование главного распорядителя бюджетных средств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Управление образования администрации</w:t>
            </w:r>
          </w:p>
        </w:tc>
      </w:tr>
      <w:tr>
        <w:trPr>
          <w:trHeight w:val="275" w:hRule="atLeast"/>
          <w:cantSplit w:val="true"/>
        </w:trPr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Связь с муниципальной программой и подпрограммой (при наличии)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385" w:leader="none"/>
              </w:tabs>
              <w:spacing w:before="0" w:after="0"/>
              <w:contextualSpacing/>
              <w:jc w:val="center"/>
              <w:rPr/>
            </w:pPr>
            <w:r>
              <w:rPr/>
              <w:t>Развитие муниципальной системы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образования Копейского городского округа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tLeast" w:line="240"/>
        <w:jc w:val="center"/>
        <w:rPr/>
      </w:pPr>
      <w:r>
        <w:rPr/>
        <w:t>Показатели комплекса процессных мероприятий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915"/>
        <w:gridCol w:w="4793"/>
        <w:gridCol w:w="1092"/>
        <w:gridCol w:w="954"/>
        <w:gridCol w:w="820"/>
        <w:gridCol w:w="957"/>
        <w:gridCol w:w="957"/>
        <w:gridCol w:w="958"/>
        <w:gridCol w:w="957"/>
        <w:gridCol w:w="959"/>
        <w:gridCol w:w="1773"/>
      </w:tblGrid>
      <w:tr>
        <w:trPr>
          <w:trHeight w:val="305" w:hRule="atLeast"/>
        </w:trPr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4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</w:t>
            </w:r>
          </w:p>
        </w:tc>
        <w:tc>
          <w:tcPr>
            <w:tcW w:w="5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достижение показателя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12" w:hRule="atLeast"/>
        </w:trPr>
        <w:tc>
          <w:tcPr>
            <w:tcW w:w="9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17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>
        <w:trPr>
          <w:trHeight w:val="258" w:hRule="atLeast"/>
        </w:trPr>
        <w:tc>
          <w:tcPr>
            <w:tcW w:w="151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 Реализация комплекса мер по обеспечению безопасного функционирования образовательных организаций</w:t>
            </w:r>
          </w:p>
        </w:tc>
      </w:tr>
      <w:tr>
        <w:trPr>
          <w:trHeight w:val="258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1.1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 xml:space="preserve">Доля образовательных организаций, соответствующих требованиям противопожарной безопасности, в общей численности образовательных организаций 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76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78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1.2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Доля образовательных организаций, соответствующих требованиям антитеррористической безопасности, в общей численности образовательных организаций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4811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1.3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Доля образовательных организаций, реализующих программы дошкольного образования, начального общего, основного общего, среднего общего образования, дополнительные общеобразовательные программы, которые в соответствии с требованиями к антитеррористической защищенности оснащены оборудованием объекты (территории) следующими системами (конструкциями) (процентов):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 xml:space="preserve">      </w:t>
            </w:r>
            <w:r>
              <w:rPr/>
              <w:t>-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ситуации;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 xml:space="preserve">      </w:t>
            </w:r>
            <w:r>
              <w:rPr/>
              <w:t>- видеонаблюдения со сроком хранения информации 30 дней;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 xml:space="preserve">      </w:t>
            </w:r>
            <w:r>
              <w:rPr/>
              <w:t>- контроля и управления доступом;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 xml:space="preserve">      </w:t>
            </w:r>
            <w:r>
              <w:rPr/>
              <w:t>- инженерно-технической укрепленности периметра объекта (территории) – ограждение;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 xml:space="preserve">      </w:t>
            </w:r>
            <w:r>
              <w:rPr/>
              <w:t xml:space="preserve">- охранной сигнализацией; 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 xml:space="preserve">      </w:t>
            </w:r>
            <w:r>
              <w:rPr/>
              <w:t>-видеонаблюдения, охранной сигнализации и средствами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 в помещениях, расположенных на первом этаже для охраны;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 xml:space="preserve">       </w:t>
            </w:r>
            <w:r>
              <w:rPr/>
              <w:t>- воротами, обеспечивающими жесткую фиксацию их створок в закрытом положении;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 xml:space="preserve">       </w:t>
            </w:r>
            <w:r>
              <w:rPr/>
              <w:t>- контрольно-пропускных пунктов при входе (въезде) на прилегающую территорию объекта (территории);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 xml:space="preserve">       </w:t>
            </w:r>
            <w:r>
              <w:rPr/>
              <w:t xml:space="preserve">- въездов на объект (территорию) средствами снижения скорости и (или) противотаранными устройствами; 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 xml:space="preserve">      </w:t>
            </w:r>
            <w:r>
              <w:rPr/>
              <w:t>-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«112» и поддержание их в исправном состоянии;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 xml:space="preserve">      </w:t>
            </w:r>
            <w:r>
              <w:rPr/>
              <w:t>- наружного освещения;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 xml:space="preserve">      </w:t>
            </w:r>
            <w:r>
              <w:rPr/>
              <w:t>- оборудования основных входов в здания, входящие в состав объектов (территорий), контрольно-пропускными пунктами (постами охраны) РФ;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 xml:space="preserve">   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23,3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87,4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75,0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85,0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23,0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25,0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94,0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51,4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62,0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23,3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87,4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75,0</w:t>
            </w:r>
          </w:p>
          <w:p>
            <w:pPr>
              <w:pStyle w:val="Normal"/>
              <w:rPr/>
            </w:pPr>
            <w:r>
              <w:rPr/>
              <w:t>85,0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23,0</w:t>
            </w:r>
          </w:p>
          <w:p>
            <w:pPr>
              <w:pStyle w:val="Normal"/>
              <w:rPr/>
            </w:pPr>
            <w:r>
              <w:rPr/>
              <w:t>4,0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25,0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94,0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51,4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62,0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23,3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87,4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75,0</w:t>
            </w:r>
          </w:p>
          <w:p>
            <w:pPr>
              <w:pStyle w:val="Normal"/>
              <w:rPr/>
            </w:pPr>
            <w:r>
              <w:rPr/>
              <w:t>85,0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23,0</w:t>
            </w:r>
          </w:p>
          <w:p>
            <w:pPr>
              <w:pStyle w:val="Normal"/>
              <w:rPr/>
            </w:pPr>
            <w:r>
              <w:rPr/>
              <w:t>4,0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25,0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94,0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51,4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62,0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23,3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87,4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75,0</w:t>
            </w:r>
          </w:p>
          <w:p>
            <w:pPr>
              <w:pStyle w:val="Normal"/>
              <w:rPr/>
            </w:pPr>
            <w:r>
              <w:rPr/>
              <w:t>85,0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23,0</w:t>
            </w:r>
          </w:p>
          <w:p>
            <w:pPr>
              <w:pStyle w:val="Normal"/>
              <w:rPr/>
            </w:pPr>
            <w:r>
              <w:rPr/>
              <w:t>4,0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25,0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94,0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51,4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62,0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23,3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87,4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75,0</w:t>
            </w:r>
          </w:p>
          <w:p>
            <w:pPr>
              <w:pStyle w:val="Normal"/>
              <w:rPr/>
            </w:pPr>
            <w:r>
              <w:rPr/>
              <w:t>85,0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23,0</w:t>
            </w:r>
          </w:p>
          <w:p>
            <w:pPr>
              <w:pStyle w:val="Normal"/>
              <w:rPr/>
            </w:pPr>
            <w:r>
              <w:rPr/>
              <w:t>4,0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25,0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94,0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51,4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62,0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23,3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87,4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75,0</w:t>
            </w:r>
          </w:p>
          <w:p>
            <w:pPr>
              <w:pStyle w:val="Normal"/>
              <w:rPr/>
            </w:pPr>
            <w:r>
              <w:rPr/>
              <w:t>85,0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23,0</w:t>
            </w:r>
          </w:p>
          <w:p>
            <w:pPr>
              <w:pStyle w:val="Normal"/>
              <w:rPr/>
            </w:pPr>
            <w:r>
              <w:rPr/>
              <w:t>4,0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25,0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94,0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51,4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62,0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23,3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87,4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75,0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85,0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23,0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4,0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25,0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94,0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51,4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62,0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1.4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Доля использования образовательной организацией субсидии, выделенной на иные цели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</w:tbl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  <w:t xml:space="preserve">3. Мероприятия (результаты) комплекса процессных мероприятий </w:t>
      </w:r>
    </w:p>
    <w:tbl>
      <w:tblPr>
        <w:tblW w:w="5000" w:type="pct"/>
        <w:jc w:val="left"/>
        <w:tblInd w:w="-114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402"/>
        <w:gridCol w:w="3006"/>
        <w:gridCol w:w="1638"/>
        <w:gridCol w:w="2319"/>
        <w:gridCol w:w="1362"/>
        <w:gridCol w:w="1093"/>
        <w:gridCol w:w="909"/>
        <w:gridCol w:w="45"/>
        <w:gridCol w:w="954"/>
        <w:gridCol w:w="820"/>
        <w:gridCol w:w="817"/>
        <w:gridCol w:w="818"/>
        <w:gridCol w:w="953"/>
      </w:tblGrid>
      <w:tr>
        <w:trPr>
          <w:trHeight w:val="524" w:hRule="atLeast"/>
        </w:trPr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Наименование мероприятия (результата)</w:t>
            </w: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Тип мероприятия (результата)</w:t>
            </w:r>
          </w:p>
        </w:tc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 w:right="132"/>
              <w:contextualSpacing/>
              <w:jc w:val="center"/>
              <w:rPr/>
            </w:pPr>
            <w:r>
              <w:rPr/>
              <w:t>Характеристика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Единицы измерения</w:t>
            </w: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2024</w:t>
            </w:r>
          </w:p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год</w:t>
            </w:r>
          </w:p>
        </w:tc>
        <w:tc>
          <w:tcPr>
            <w:tcW w:w="53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</w:tr>
      <w:tr>
        <w:trPr>
          <w:trHeight w:val="390" w:hRule="atLeast"/>
        </w:trPr>
        <w:tc>
          <w:tcPr>
            <w:tcW w:w="4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3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6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3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 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</w:tr>
      <w:tr>
        <w:trPr>
          <w:trHeight w:val="220" w:hRule="atLeast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12</w:t>
            </w:r>
          </w:p>
        </w:tc>
      </w:tr>
      <w:tr>
        <w:trPr>
          <w:trHeight w:val="339" w:hRule="atLeast"/>
        </w:trPr>
        <w:tc>
          <w:tcPr>
            <w:tcW w:w="151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Реализация комплекса мер по обеспечению безопасного функционирования образовательных организаций</w:t>
            </w:r>
          </w:p>
        </w:tc>
      </w:tr>
      <w:tr>
        <w:trPr>
          <w:trHeight w:val="673" w:hRule="atLeast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1.1.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114"/>
              <w:contextualSpacing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Проведение необходимых антитеррористических мероприятий в соответствии с планом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</w:tr>
      <w:tr>
        <w:trPr>
          <w:trHeight w:val="359" w:hRule="atLeast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1.2.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 xml:space="preserve">Обеспечение пожарной безопасности </w:t>
            </w:r>
          </w:p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 xml:space="preserve">в муниципальных подведомственных организациях 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Проведение необходимых противопожарных мероприятий в соответствии с планом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процент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</w:tr>
      <w:tr>
        <w:trPr>
          <w:trHeight w:val="359" w:hRule="atLeast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1.3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 xml:space="preserve">Проведение мероприятий, направленных на аварийно-диспетчерское обслуживание и устранение аварийных ситуаций на инженерных, электрических сетях в подведомственных организациях 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Обеспечение выполнения необходимых мероприятий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процент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</w:tr>
    </w:tbl>
    <w:p>
      <w:pPr>
        <w:pStyle w:val="Normal"/>
        <w:spacing w:lineRule="auto" w:line="276" w:before="0" w:after="200"/>
        <w:rPr/>
      </w:pPr>
      <w:r>
        <w:rPr/>
      </w:r>
      <w:r>
        <w:br w:type="page"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  <w:t>4. Финансовое обеспечение комплекса процессных мероприятий</w:t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tbl>
      <w:tblPr>
        <w:tblW w:w="15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08"/>
        <w:gridCol w:w="5246"/>
        <w:gridCol w:w="1701"/>
        <w:gridCol w:w="1276"/>
        <w:gridCol w:w="1274"/>
        <w:gridCol w:w="1276"/>
        <w:gridCol w:w="1021"/>
        <w:gridCol w:w="994"/>
        <w:gridCol w:w="992"/>
        <w:gridCol w:w="1276"/>
        <w:gridCol w:w="8"/>
      </w:tblGrid>
      <w:tr>
        <w:trPr>
          <w:trHeight w:val="303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№</w:t>
            </w:r>
            <w:r>
              <w:rPr>
                <w:rStyle w:val="FootnoteReference"/>
              </w:rPr>
              <w:footnoteReference w:id="2"/>
            </w:r>
          </w:p>
        </w:tc>
        <w:tc>
          <w:tcPr>
            <w:tcW w:w="5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Ответствен-ный исполнитель</w:t>
            </w:r>
          </w:p>
        </w:tc>
        <w:tc>
          <w:tcPr>
            <w:tcW w:w="81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Объем финансового обеспечения по годам реализации, тыс. рублей</w:t>
            </w:r>
          </w:p>
        </w:tc>
      </w:tr>
      <w:tr>
        <w:trPr>
          <w:trHeight w:val="317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Всего: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157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Реализация комплекса мер по обеспечению безопасного функционирования образовательных организаций</w:t>
            </w:r>
          </w:p>
        </w:tc>
      </w:tr>
      <w:tr>
        <w:trPr>
          <w:trHeight w:val="193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bCs/>
                <w:color w:val="000000"/>
                <w:u w:val="none" w:color="000000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highlight w:val="yellow"/>
              </w:rPr>
            </w:pPr>
            <w:r>
              <w:rPr/>
              <w:t>0,00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4939,30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highlight w:val="yellow"/>
              </w:rPr>
            </w:pPr>
            <w:r>
              <w:rPr/>
              <w:t>4939,30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7377,80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14288,00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14288,00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75" w:right="-136"/>
              <w:contextualSpacing/>
              <w:rPr/>
            </w:pPr>
            <w:r>
              <w:rPr/>
              <w:t>14288,00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50241,80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50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1.2.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 xml:space="preserve">Обеспечение пожарной безопасности 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bCs/>
                <w:color w:val="000000"/>
                <w:u w:val="none" w:color="000000"/>
              </w:rPr>
              <w:t xml:space="preserve">в муниципальных подведомственных организациях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9105,60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4212,00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4212,00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-136"/>
              <w:contextualSpacing/>
              <w:jc w:val="center"/>
              <w:rPr/>
            </w:pPr>
            <w:r>
              <w:rPr/>
              <w:t>4212,00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highlight w:val="yellow"/>
              </w:rPr>
            </w:pPr>
            <w:r>
              <w:rPr/>
              <w:t>21741,60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1.3.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bCs/>
                <w:color w:val="000000"/>
                <w:u w:val="none" w:color="000000"/>
              </w:rPr>
              <w:t xml:space="preserve">Проведение мероприятий, направленных на аварийно-диспетчерское обслуживание и устранение аварийных ситуаций на инженерных, электрических сетях в подведомственных организациях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1100,40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1500,00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-136"/>
              <w:contextualSpacing/>
              <w:jc w:val="center"/>
              <w:rPr/>
            </w:pPr>
            <w:r>
              <w:rPr/>
              <w:t>1500,00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5600,40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1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Всего на реализацию комплекса процессных мероприятий «Обеспечение комплексной безопасности образовательных организаций», всего, в т.ч.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22523,10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20000,00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20000,00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217" w:right="-136"/>
              <w:contextualSpacing/>
              <w:jc w:val="center"/>
              <w:rPr/>
            </w:pPr>
            <w:r>
              <w:rPr/>
              <w:t xml:space="preserve"> </w:t>
            </w:r>
            <w:r>
              <w:rPr/>
              <w:t>20000,00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82523,10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4939,30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4939,30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17583,80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20000,00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20000,00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75" w:right="-106"/>
              <w:contextualSpacing/>
              <w:jc w:val="center"/>
              <w:rPr/>
            </w:pPr>
            <w:r>
              <w:rPr/>
              <w:t>20000,00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77583,80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lineRule="auto" w:line="276"/>
        <w:ind w:left="360"/>
        <w:jc w:val="center"/>
        <w:rPr/>
      </w:pPr>
      <w:r>
        <w:rPr/>
        <w:t>5. План реализации комплекса процессных мероприятий</w:t>
      </w:r>
    </w:p>
    <w:p>
      <w:pPr>
        <w:pStyle w:val="Normal"/>
        <w:spacing w:lineRule="auto" w:line="276"/>
        <w:ind w:left="360"/>
        <w:jc w:val="center"/>
        <w:rPr/>
      </w:pPr>
      <w:r>
        <w:rPr/>
      </w:r>
    </w:p>
    <w:tbl>
      <w:tblPr>
        <w:tblW w:w="1573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709"/>
        <w:gridCol w:w="7937"/>
        <w:gridCol w:w="2269"/>
        <w:gridCol w:w="2552"/>
        <w:gridCol w:w="2268"/>
      </w:tblGrid>
      <w:tr>
        <w:trPr>
          <w:trHeight w:val="874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№</w:t>
            </w:r>
            <w:r>
              <w:rPr>
                <w:vertAlign w:val="superscript"/>
              </w:rPr>
              <w:t>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Задача, мероприятие (результат) /</w:t>
            </w:r>
          </w:p>
          <w:p>
            <w:pPr>
              <w:pStyle w:val="Normal"/>
              <w:jc w:val="center"/>
              <w:rPr/>
            </w:pPr>
            <w:r>
              <w:rPr/>
              <w:t>контрольная точка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Дата наступления контрольной точки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Ответственный исполнитель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Вид подтверждающего документа</w:t>
            </w:r>
          </w:p>
        </w:tc>
      </w:tr>
      <w:tr>
        <w:trPr>
          <w:trHeight w:val="273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</w:tr>
      <w:tr>
        <w:trPr>
          <w:trHeight w:val="173" w:hRule="atLeast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Реализация комплекса мер по обеспечению безопасного функционирования образовательных организаций</w:t>
            </w:r>
          </w:p>
        </w:tc>
      </w:tr>
      <w:tr>
        <w:trPr>
          <w:trHeight w:val="164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  <w:color w:val="000000"/>
                <w:u w:val="none" w:color="000000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vertAlign w:val="superscript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</w:p>
        </w:tc>
      </w:tr>
      <w:tr>
        <w:trPr>
          <w:trHeight w:val="167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258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01.04.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258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1.3. Произведена приемка выполненных работ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30.08.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Счет-фактура</w:t>
            </w:r>
          </w:p>
        </w:tc>
      </w:tr>
      <w:tr>
        <w:trPr>
          <w:trHeight w:val="258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1.4. Произведена оплата выполненных работ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15.09.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  <w:tr>
        <w:trPr>
          <w:trHeight w:val="182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1.2.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 xml:space="preserve">Обеспечение пожарной безопасности </w:t>
            </w:r>
          </w:p>
          <w:p>
            <w:pPr>
              <w:pStyle w:val="Normal"/>
              <w:rPr/>
            </w:pPr>
            <w:r>
              <w:rPr>
                <w:bCs/>
                <w:color w:val="000000"/>
                <w:u w:val="none" w:color="000000"/>
              </w:rPr>
              <w:t xml:space="preserve">в муниципальных подведомственных организациях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</w:p>
        </w:tc>
      </w:tr>
      <w:tr>
        <w:trPr>
          <w:trHeight w:val="156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317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01.04.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317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выполненных работ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30.08.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Счет-фактура</w:t>
            </w:r>
          </w:p>
        </w:tc>
      </w:tr>
      <w:tr>
        <w:trPr>
          <w:trHeight w:val="432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1.4. Произведена оплата выполненных работ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15.09.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  <w:tr>
        <w:trPr>
          <w:trHeight w:val="126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1.3.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Cs/>
                <w:color w:val="000000"/>
                <w:u w:val="none" w:color="000000"/>
              </w:rPr>
              <w:t xml:space="preserve">Проведение мероприятий, направленных на аварийно-диспетчерское обслуживание и устранение аварийных ситуаций на инженерных, электрических сетях в подведомственных организациях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</w:p>
        </w:tc>
      </w:tr>
      <w:tr>
        <w:trPr>
          <w:trHeight w:val="126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126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01.04.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126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поставленного товара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30.08.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Счет-фактура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1.4. Произведена оплата товара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15.09.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Платежное поручение </w:t>
            </w:r>
          </w:p>
        </w:tc>
      </w:tr>
    </w:tbl>
    <w:p>
      <w:pPr>
        <w:pStyle w:val="Normal"/>
        <w:spacing w:lineRule="auto" w:line="276" w:before="0" w:after="20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администрации                                                                                            М.Н. Хлынина </w:t>
      </w:r>
    </w:p>
    <w:sectPr>
      <w:headerReference w:type="even" r:id="rId2"/>
      <w:headerReference w:type="default" r:id="rId3"/>
      <w:headerReference w:type="first" r:id="rId4"/>
      <w:footnotePr>
        <w:numFmt w:val="decimal"/>
      </w:footnotePr>
      <w:type w:val="nextPage"/>
      <w:pgSz w:orient="landscape" w:w="16838" w:h="11906"/>
      <w:pgMar w:left="567" w:right="1134" w:gutter="0" w:header="709" w:top="766" w:footer="0" w:bottom="567"/>
      <w:pgNumType w:start="39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spacing w:before="0" w:after="0"/>
        <w:rPr>
          <w:rFonts w:ascii="Times New Roman" w:hAnsi="Times New Roman"/>
        </w:rPr>
      </w:pPr>
      <w:r>
        <w:rPr>
          <w:rStyle w:val="Style18"/>
        </w:rPr>
        <w:footnoteRef/>
      </w: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922f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d069e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cb03f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b03f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cb03f9"/>
    <w:rPr>
      <w:rFonts w:ascii="Tahoma" w:hAnsi="Tahoma" w:eastAsia="Times New Roman" w:cs="Tahoma"/>
      <w:sz w:val="16"/>
      <w:szCs w:val="16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4005c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d069e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7" w:customStyle="1">
    <w:name w:val="Текст сноски Знак"/>
    <w:basedOn w:val="DefaultParagraphFont"/>
    <w:uiPriority w:val="99"/>
    <w:qFormat/>
    <w:rsid w:val="00783c86"/>
    <w:rPr>
      <w:rFonts w:eastAsia="" w:cs="Times New Roman" w:eastAsiaTheme="minorEastAsia"/>
      <w:sz w:val="20"/>
      <w:szCs w:val="20"/>
      <w:lang w:eastAsia="ru-RU"/>
    </w:rPr>
  </w:style>
  <w:style w:type="character" w:styleId="Style18">
    <w:name w:val="Символ сноски"/>
    <w:basedOn w:val="DefaultParagraphFont"/>
    <w:uiPriority w:val="99"/>
    <w:unhideWhenUsed/>
    <w:qFormat/>
    <w:rsid w:val="00783c86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9">
    <w:name w:val="Символ концевой сноски"/>
    <w:qFormat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3"/>
    <w:rsid w:val="00cb03f9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cb03f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cb03f9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13140d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b58fb"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Style16"/>
    <w:uiPriority w:val="99"/>
    <w:unhideWhenUsed/>
    <w:rsid w:val="004005c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7"/>
    <w:uiPriority w:val="99"/>
    <w:unhideWhenUsed/>
    <w:rsid w:val="00783c86"/>
    <w:pPr>
      <w:spacing w:lineRule="auto" w:line="259" w:before="0" w:after="160"/>
    </w:pPr>
    <w:rPr>
      <w:rFonts w:ascii="Calibri" w:hAnsi="Calibri" w:eastAsia="" w:asciiTheme="minorHAnsi" w:eastAsiaTheme="minorEastAsia" w:hAnsiTheme="minorHAnsi"/>
      <w:sz w:val="20"/>
      <w:szCs w:val="20"/>
    </w:rPr>
  </w:style>
  <w:style w:type="paragraph" w:styleId="ConsPlusTitle" w:customStyle="1">
    <w:name w:val="ConsPlusTitle"/>
    <w:qFormat/>
    <w:rsid w:val="00ec1537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86517-D8DE-413C-B9FB-E857D323E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6</Pages>
  <Words>1084</Words>
  <Characters>7722</Characters>
  <CharactersWithSpaces>8865</CharactersWithSpaces>
  <Paragraphs>458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2026-02-27T08:51:00Z</dcterms:created>
  <dc:creator>n.babyrina</dc:creator>
  <dc:description/>
  <dc:language>ru-RU</dc:language>
  <cp:lastModifiedBy/>
  <cp:lastPrinted>2025-03-25T08:52:00Z</cp:lastPrinted>
  <dcterms:modified xsi:type="dcterms:W3CDTF">2026-02-27T14:01:25Z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