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eastAsia="Calibri" w:eastAsiaTheme="minorHAnsi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  <w:r>
        <w:rPr/>
        <w:t>УТВЕРЖДЕН</w:t>
      </w:r>
    </w:p>
    <w:p>
      <w:pPr>
        <w:pStyle w:val="Normal"/>
        <w:spacing w:before="0" w:after="0"/>
        <w:ind w:left="9498"/>
        <w:contextualSpacing/>
        <w:jc w:val="center"/>
        <w:rPr/>
      </w:pPr>
      <w:r>
        <w:rPr/>
        <w:t xml:space="preserve">             </w:t>
      </w:r>
      <w:r>
        <w:rPr/>
        <w:t>Протоколом управляющего совета</w:t>
      </w:r>
    </w:p>
    <w:p>
      <w:pPr>
        <w:pStyle w:val="Normal"/>
        <w:spacing w:before="0" w:after="0"/>
        <w:ind w:left="9498"/>
        <w:contextualSpacing/>
        <w:jc w:val="center"/>
        <w:rPr/>
      </w:pPr>
      <w:r>
        <w:rPr/>
        <w:t xml:space="preserve">               </w:t>
      </w:r>
      <w:r>
        <w:rPr/>
        <w:t xml:space="preserve">муниципальной программы </w:t>
      </w:r>
    </w:p>
    <w:p>
      <w:pPr>
        <w:pStyle w:val="Normal"/>
        <w:spacing w:before="0" w:after="0"/>
        <w:ind w:left="9498"/>
        <w:contextualSpacing/>
        <w:jc w:val="center"/>
        <w:rPr/>
      </w:pPr>
      <w:r>
        <w:rPr/>
        <w:t xml:space="preserve">                </w:t>
      </w:r>
      <w:r>
        <w:rPr/>
        <w:t>«Развитие муниципальной системы</w:t>
      </w:r>
    </w:p>
    <w:p>
      <w:pPr>
        <w:pStyle w:val="Normal"/>
        <w:tabs>
          <w:tab w:val="clear" w:pos="708"/>
          <w:tab w:val="left" w:pos="6385" w:leader="none"/>
          <w:tab w:val="left" w:pos="12225" w:leader="none"/>
        </w:tabs>
        <w:spacing w:before="0" w:after="0"/>
        <w:contextualSpacing/>
        <w:jc w:val="right"/>
        <w:rPr>
          <w:sz w:val="28"/>
          <w:szCs w:val="28"/>
        </w:rPr>
      </w:pPr>
      <w:r>
        <w:rPr/>
        <w:t xml:space="preserve">   </w:t>
      </w:r>
      <w:r>
        <w:rPr/>
        <w:t>образования Копейского городского округа</w:t>
      </w:r>
      <w:r>
        <w:rPr>
          <w:sz w:val="28"/>
          <w:szCs w:val="28"/>
        </w:rPr>
        <w:t>»</w:t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contextualSpacing/>
        <w:jc w:val="center"/>
        <w:rPr/>
      </w:pPr>
      <w:r>
        <w:rPr/>
        <w:tab/>
        <w:tab/>
        <w:tab/>
        <w:tab/>
        <w:tab/>
        <w:tab/>
      </w:r>
      <w:r>
        <w:rPr/>
        <w:t>23.01.2026 №5</w:t>
      </w:r>
    </w:p>
    <w:p>
      <w:pPr>
        <w:pStyle w:val="Normal"/>
        <w:tabs>
          <w:tab w:val="clear" w:pos="708"/>
          <w:tab w:val="left" w:pos="6385" w:leader="none"/>
          <w:tab w:val="center" w:pos="7285" w:leader="none"/>
          <w:tab w:val="left" w:pos="9639" w:leader="none"/>
        </w:tabs>
        <w:spacing w:before="0" w:after="0"/>
        <w:contextualSpacing/>
        <w:jc w:val="center"/>
        <w:rPr/>
      </w:pPr>
      <w:r>
        <w:rPr/>
        <w:t>ПАСПОРТ</w:t>
      </w:r>
    </w:p>
    <w:p>
      <w:pPr>
        <w:pStyle w:val="Normal"/>
        <w:spacing w:before="0" w:after="0"/>
        <w:contextualSpacing/>
        <w:jc w:val="center"/>
        <w:rPr/>
      </w:pPr>
      <w:r>
        <w:rPr/>
        <w:t>комплекса процессных мероприятий</w:t>
      </w:r>
    </w:p>
    <w:p>
      <w:pPr>
        <w:pStyle w:val="Normal"/>
        <w:spacing w:before="0" w:after="0"/>
        <w:contextualSpacing/>
        <w:jc w:val="center"/>
        <w:rPr/>
      </w:pPr>
      <w:r>
        <w:rPr/>
        <w:t>«Профилактика безнадзорности и правонарушений несовершеннолетних»</w:t>
      </w:r>
    </w:p>
    <w:p>
      <w:pPr>
        <w:pStyle w:val="Normal"/>
        <w:spacing w:before="0" w:after="0"/>
        <w:contextualSpacing/>
        <w:rPr/>
      </w:pPr>
      <w:r>
        <w:rPr/>
      </w:r>
    </w:p>
    <w:p>
      <w:pPr>
        <w:pStyle w:val="ListParagraph"/>
        <w:numPr>
          <w:ilvl w:val="0"/>
          <w:numId w:val="1"/>
        </w:numPr>
        <w:jc w:val="center"/>
        <w:rPr/>
      </w:pPr>
      <w:r>
        <w:rPr/>
        <w:t>Основные положения</w:t>
      </w:r>
    </w:p>
    <w:p>
      <w:pPr>
        <w:pStyle w:val="ListParagraph"/>
        <w:rPr/>
      </w:pPr>
      <w:r>
        <w:rPr/>
      </w:r>
    </w:p>
    <w:tbl>
      <w:tblPr>
        <w:tblW w:w="5000" w:type="pct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317"/>
        <w:gridCol w:w="7819"/>
      </w:tblGrid>
      <w:tr>
        <w:trPr>
          <w:trHeight w:val="351" w:hRule="atLeast"/>
          <w:cantSplit w:val="true"/>
        </w:trPr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Ответственный исполнитель комплекса процессных мероприятий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Начальник управления образования администрации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Хлынина Марина Николаевна</w:t>
            </w:r>
          </w:p>
        </w:tc>
      </w:tr>
      <w:tr>
        <w:trPr>
          <w:trHeight w:val="286" w:hRule="atLeast"/>
          <w:cantSplit w:val="true"/>
        </w:trPr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Наименование главного распорядителя бюджетных средств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Управление образования администрации</w:t>
            </w:r>
          </w:p>
        </w:tc>
      </w:tr>
      <w:tr>
        <w:trPr>
          <w:trHeight w:val="275" w:hRule="atLeast"/>
          <w:cantSplit w:val="true"/>
        </w:trPr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Связь с муниципальной программой и подпрограммой (при наличии)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385" w:leader="none"/>
              </w:tabs>
              <w:spacing w:before="0" w:after="0"/>
              <w:contextualSpacing/>
              <w:jc w:val="center"/>
              <w:rPr/>
            </w:pPr>
            <w:r>
              <w:rPr/>
              <w:t>Развитие муниципальной системы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образования Копейского городского округа</w:t>
            </w:r>
          </w:p>
        </w:tc>
      </w:tr>
    </w:tbl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tLeast" w:line="240"/>
        <w:jc w:val="center"/>
        <w:rPr/>
      </w:pPr>
      <w:r>
        <w:rPr/>
        <w:t>Показатели комплекса процессных мероприятий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917"/>
        <w:gridCol w:w="4794"/>
        <w:gridCol w:w="1092"/>
        <w:gridCol w:w="954"/>
        <w:gridCol w:w="820"/>
        <w:gridCol w:w="957"/>
        <w:gridCol w:w="957"/>
        <w:gridCol w:w="955"/>
        <w:gridCol w:w="957"/>
        <w:gridCol w:w="959"/>
        <w:gridCol w:w="1773"/>
      </w:tblGrid>
      <w:tr>
        <w:trPr>
          <w:trHeight w:val="305" w:hRule="atLeast"/>
        </w:trPr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4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</w:t>
            </w:r>
          </w:p>
        </w:tc>
        <w:tc>
          <w:tcPr>
            <w:tcW w:w="5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достижение показателя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12" w:hRule="atLeast"/>
        </w:trPr>
        <w:tc>
          <w:tcPr>
            <w:tcW w:w="9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7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17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58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>
        <w:trPr>
          <w:trHeight w:val="258" w:hRule="atLeast"/>
        </w:trPr>
        <w:tc>
          <w:tcPr>
            <w:tcW w:w="151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1. Обеспечение организации и проведения мероприятий по профилактике безнадзорности, беспризорности, правонарушений и антиобщественных действий несовершеннолетних</w:t>
            </w:r>
          </w:p>
        </w:tc>
      </w:tr>
      <w:tr>
        <w:trPr>
          <w:trHeight w:val="258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1.1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>Доля обучающихся в возрасте от 14 до 18 лет общеобразовательных организаций, охваченных малозатратными формами летней занятости (полевые лагеря, походы, экспедиции), от общего количества обучающихся общеобразовательных организаций в возрасте от 14 до 18 лет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16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17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1.2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>Доля несовершеннолетних, состоящих на профилактическом учете в органах внутренних дел, охваченных отдыхом в каникулярное время в организациях отдыха и оздоровления детей, лагерях с дневным пребыванием детей, в общем числе несовершеннолетних, состоящих на профилактическом учете в органах внутренних дел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  <w:tr>
        <w:trPr>
          <w:trHeight w:val="1447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1.3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 xml:space="preserve"> </w:t>
            </w:r>
            <w:r>
              <w:rPr/>
              <w:t xml:space="preserve">Доля несовершеннолетних, состоящих на учете в органах внутренних дел, принявших участие в профильных сменах, от общего числа несовершеннолетних, состоящих на учете в органах внутренних дел 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50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1.4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>Доля муниципальных образовательных организаций, реализующих программы общего, дошкольного и дополнительного образования, имеющих  в соответствии с требованиями к антитеррористической защищенности 1,2 категории опасности, обеспеченных  квалифицированной охраной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</w:tbl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  <w:t xml:space="preserve">3. Мероприятия (результаты) комплекса процессных мероприятий </w:t>
      </w:r>
    </w:p>
    <w:tbl>
      <w:tblPr>
        <w:tblW w:w="5000" w:type="pct"/>
        <w:jc w:val="left"/>
        <w:tblInd w:w="-114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402"/>
        <w:gridCol w:w="3006"/>
        <w:gridCol w:w="1638"/>
        <w:gridCol w:w="2319"/>
        <w:gridCol w:w="1362"/>
        <w:gridCol w:w="1093"/>
        <w:gridCol w:w="909"/>
        <w:gridCol w:w="45"/>
        <w:gridCol w:w="954"/>
        <w:gridCol w:w="820"/>
        <w:gridCol w:w="817"/>
        <w:gridCol w:w="818"/>
        <w:gridCol w:w="953"/>
      </w:tblGrid>
      <w:tr>
        <w:trPr>
          <w:trHeight w:val="524" w:hRule="atLeast"/>
        </w:trPr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Наименование мероприятия (результата)</w:t>
            </w:r>
          </w:p>
        </w:tc>
        <w:tc>
          <w:tcPr>
            <w:tcW w:w="1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Тип мероприятия (результата)</w:t>
            </w:r>
          </w:p>
        </w:tc>
        <w:tc>
          <w:tcPr>
            <w:tcW w:w="2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 w:right="132"/>
              <w:contextualSpacing/>
              <w:jc w:val="center"/>
              <w:rPr/>
            </w:pPr>
            <w:r>
              <w:rPr/>
              <w:t>Характеристика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Единицы измерения</w:t>
            </w:r>
          </w:p>
        </w:tc>
        <w:tc>
          <w:tcPr>
            <w:tcW w:w="1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2024</w:t>
            </w:r>
          </w:p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год</w:t>
            </w:r>
          </w:p>
        </w:tc>
        <w:tc>
          <w:tcPr>
            <w:tcW w:w="53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</w:tr>
      <w:tr>
        <w:trPr>
          <w:trHeight w:val="390" w:hRule="atLeast"/>
        </w:trPr>
        <w:tc>
          <w:tcPr>
            <w:tcW w:w="4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3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16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23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1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10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2027 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</w:tr>
      <w:tr>
        <w:trPr>
          <w:trHeight w:val="220" w:hRule="atLeast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12</w:t>
            </w:r>
          </w:p>
        </w:tc>
      </w:tr>
      <w:tr>
        <w:trPr>
          <w:trHeight w:val="339" w:hRule="atLeast"/>
        </w:trPr>
        <w:tc>
          <w:tcPr>
            <w:tcW w:w="151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Обеспечение организации и проведения мероприятий по профилактике безнадзорности, беспризорности, правонарушений и антиобщественных действий несовершеннолетних</w:t>
            </w:r>
          </w:p>
        </w:tc>
      </w:tr>
      <w:tr>
        <w:trPr>
          <w:trHeight w:val="673" w:hRule="atLeast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1.1.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114"/>
              <w:contextualSpacing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Организация и проведение учебных сборов для юношей допризывного возраста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Проведение мероприятий в соответствии с планом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процент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</w:tr>
      <w:tr>
        <w:trPr>
          <w:trHeight w:val="359" w:hRule="atLeast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1.2.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 xml:space="preserve"> </w:t>
            </w:r>
            <w:r>
              <w:rPr>
                <w:bCs/>
                <w:color w:val="000000"/>
                <w:u w:val="none" w:color="000000"/>
              </w:rPr>
              <w:t xml:space="preserve">Организация малозатратных форм летней занятости (полевых лагерей, походов, экспедиций) 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Проведение мероприятий в соответствии с планом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процент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</w:tr>
      <w:tr>
        <w:trPr>
          <w:trHeight w:val="359" w:hRule="atLeast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1.3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Организация профильных смен для детей, состоящих на профилактическом учете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Направление детей в профильные смены в соответствии с планом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процент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</w:tr>
      <w:tr>
        <w:trPr>
          <w:trHeight w:val="359" w:hRule="atLeast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1.4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Предоставление субсидий на иные цели муниципальным бюджетным (автономным) учреждениям на обеспечение квалифицированной охраной объектов образовательных организаций 1,2 категорий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Обеспечение охраной в четырех образовательных организациях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</w:t>
            </w:r>
          </w:p>
        </w:tc>
      </w:tr>
    </w:tbl>
    <w:p>
      <w:pPr>
        <w:pStyle w:val="Normal"/>
        <w:spacing w:lineRule="auto" w:line="276" w:before="0" w:after="200"/>
        <w:rPr/>
      </w:pPr>
      <w:r>
        <w:rPr/>
      </w:r>
      <w:r>
        <w:br w:type="page"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  <w:t>4. Финансовое обеспечение комплекса процессных мероприятий</w:t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tbl>
      <w:tblPr>
        <w:tblW w:w="1573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09"/>
        <w:gridCol w:w="5245"/>
        <w:gridCol w:w="1701"/>
        <w:gridCol w:w="1276"/>
        <w:gridCol w:w="1274"/>
        <w:gridCol w:w="1276"/>
        <w:gridCol w:w="993"/>
        <w:gridCol w:w="993"/>
        <w:gridCol w:w="991"/>
        <w:gridCol w:w="1275"/>
      </w:tblGrid>
      <w:tr>
        <w:trPr>
          <w:trHeight w:val="30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№</w:t>
            </w:r>
            <w:r>
              <w:rPr>
                <w:rStyle w:val="FootnoteReference"/>
              </w:rPr>
              <w:footnoteReference w:id="2"/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Источник финансового обеспечения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Ответствен-ный исполнитель</w:t>
            </w:r>
          </w:p>
        </w:tc>
        <w:tc>
          <w:tcPr>
            <w:tcW w:w="80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Объем финансового обеспечения по годам реализации, тыс. рублей</w:t>
            </w:r>
          </w:p>
        </w:tc>
      </w:tr>
      <w:tr>
        <w:trPr>
          <w:trHeight w:val="317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Всего:</w:t>
            </w:r>
          </w:p>
        </w:tc>
      </w:tr>
      <w:tr>
        <w:trPr>
          <w:trHeight w:val="143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</w:t>
            </w:r>
          </w:p>
        </w:tc>
      </w:tr>
      <w:tr>
        <w:trPr>
          <w:trHeight w:val="143" w:hRule="atLeast"/>
        </w:trPr>
        <w:tc>
          <w:tcPr>
            <w:tcW w:w="157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Обеспечение организации и проведения мероприятий по профилактике безнадзорности, беспризорности, правонарушений и антиобщественных действий несовершеннолетних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Организация и проведение учебных сборов для юношей допризывного возраста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bCs/>
                <w:color w:val="000000"/>
                <w:u w:val="none" w:color="000000"/>
              </w:rPr>
            </w:pPr>
            <w:r>
              <w:rPr/>
              <w:t>федеральный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bCs/>
                <w:color w:val="000000"/>
                <w:u w:val="none" w:color="000000"/>
              </w:rPr>
            </w:pPr>
            <w:r>
              <w:rPr/>
              <w:t>областной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bCs/>
                <w:color w:val="000000"/>
                <w:u w:val="none" w:color="000000"/>
              </w:rPr>
            </w:pPr>
            <w:r>
              <w:rPr/>
              <w:t xml:space="preserve">местный бюджет 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150,00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bCs/>
                <w:color w:val="000000"/>
                <w:u w:val="none" w:color="000000"/>
              </w:rPr>
              <w:t>Организация профильных смен для детей, состоящих на профилактическом учете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федеральный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301,00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462,60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462,60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462,60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1688,80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75,00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75,00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285,00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1.4.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bCs/>
                <w:color w:val="000000"/>
                <w:u w:val="none" w:color="000000"/>
              </w:rPr>
              <w:t xml:space="preserve"> </w:t>
            </w:r>
            <w:r>
              <w:rPr>
                <w:bCs/>
                <w:color w:val="000000"/>
                <w:u w:val="none" w:color="000000"/>
              </w:rPr>
              <w:t>Предоставление субсидий на иные цели муниципальным бюджетным (автономным) учреждениям на обеспечение квалифицированной охраной объектов образовательных организаций 1,2 категорий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федеральный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2486,60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2486,60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1197,30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5696,50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5696,50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right="-114"/>
              <w:contextualSpacing/>
              <w:jc w:val="center"/>
              <w:rPr/>
            </w:pPr>
            <w:r>
              <w:rPr/>
              <w:t>5696,50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18286,80</w:t>
            </w:r>
          </w:p>
        </w:tc>
      </w:tr>
      <w:tr>
        <w:trPr>
          <w:trHeight w:val="241" w:hRule="atLeast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Всего на реализацию комплекса процессных мероприятий «Профилактика безнадзорности и правонарушений несовершеннолетних», всего, в т.ч.</w:t>
            </w:r>
          </w:p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4044,90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6284,10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6284,10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right="-114"/>
              <w:contextualSpacing/>
              <w:jc w:val="center"/>
              <w:rPr/>
            </w:pPr>
            <w:r>
              <w:rPr/>
              <w:t>6284,10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22897,20</w:t>
            </w:r>
          </w:p>
        </w:tc>
      </w:tr>
      <w:tr>
        <w:trPr>
          <w:trHeight w:val="193" w:hRule="atLeast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федеральный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областной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2787,60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462,60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462,60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462,60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4175,40</w:t>
            </w:r>
          </w:p>
        </w:tc>
      </w:tr>
      <w:tr>
        <w:trPr>
          <w:trHeight w:val="193" w:hRule="atLeast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местный бюджет 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1257,30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5821,50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5821,50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right="-114"/>
              <w:contextualSpacing/>
              <w:jc w:val="center"/>
              <w:rPr/>
            </w:pPr>
            <w:r>
              <w:rPr/>
              <w:t>5821,50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18721,80</w:t>
            </w:r>
          </w:p>
        </w:tc>
      </w:tr>
    </w:tbl>
    <w:p>
      <w:pPr>
        <w:pStyle w:val="Normal"/>
        <w:spacing w:lineRule="auto" w:line="276"/>
        <w:ind w:left="360"/>
        <w:jc w:val="center"/>
        <w:rPr/>
      </w:pPr>
      <w:r>
        <w:rPr/>
        <w:t xml:space="preserve">  </w:t>
      </w:r>
      <w:r>
        <w:rPr/>
        <w:t>5. План реализации комплекса процессных мероприятий</w:t>
      </w:r>
    </w:p>
    <w:p>
      <w:pPr>
        <w:pStyle w:val="Normal"/>
        <w:spacing w:lineRule="auto" w:line="276"/>
        <w:ind w:left="360"/>
        <w:jc w:val="center"/>
        <w:rPr/>
      </w:pPr>
      <w:r>
        <w:rPr/>
      </w:r>
    </w:p>
    <w:tbl>
      <w:tblPr>
        <w:tblW w:w="1573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709"/>
        <w:gridCol w:w="7937"/>
        <w:gridCol w:w="2269"/>
        <w:gridCol w:w="2552"/>
        <w:gridCol w:w="2268"/>
      </w:tblGrid>
      <w:tr>
        <w:trPr>
          <w:trHeight w:val="874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№</w:t>
            </w:r>
            <w:r>
              <w:rPr>
                <w:vertAlign w:val="superscript"/>
              </w:rPr>
              <w:t>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Задача, мероприятие (результат) /</w:t>
            </w:r>
          </w:p>
          <w:p>
            <w:pPr>
              <w:pStyle w:val="Normal"/>
              <w:jc w:val="center"/>
              <w:rPr/>
            </w:pPr>
            <w:r>
              <w:rPr/>
              <w:t>контрольная точка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Дата наступления контрольной точки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Ответственный исполнитель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Вид подтверждающего документа</w:t>
            </w:r>
          </w:p>
        </w:tc>
      </w:tr>
      <w:tr>
        <w:trPr>
          <w:trHeight w:val="273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</w:tr>
      <w:tr>
        <w:trPr>
          <w:trHeight w:val="173" w:hRule="atLeast"/>
        </w:trPr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Обеспечение организации и проведения мероприятий по профилактике безнадзорности, беспризорности, правонарушений и антиобщественных действий несовершеннолетних</w:t>
            </w:r>
          </w:p>
        </w:tc>
      </w:tr>
      <w:tr>
        <w:trPr>
          <w:trHeight w:val="164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1.1.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Организация и проведение учебных сборов для юношей допризывного возраста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vertAlign w:val="superscript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X</w:t>
            </w:r>
          </w:p>
        </w:tc>
      </w:tr>
      <w:tr>
        <w:trPr>
          <w:trHeight w:val="167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</w:t>
            </w:r>
            <w:r>
              <w:rPr/>
              <w:t>Контрольная точка 1.1. Закупка включена в план-график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31.01.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План-график</w:t>
            </w:r>
          </w:p>
        </w:tc>
      </w:tr>
      <w:tr>
        <w:trPr>
          <w:trHeight w:val="258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</w:t>
            </w:r>
            <w:r>
              <w:rPr/>
              <w:t>Контрольная точка 1.2. Заключение муниципального контракта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01.04.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Муниципальный контракт</w:t>
            </w:r>
          </w:p>
        </w:tc>
      </w:tr>
      <w:tr>
        <w:trPr>
          <w:trHeight w:val="258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</w:t>
            </w:r>
            <w:r>
              <w:rPr/>
              <w:t>Контрольная точка 1.3. Произведена приемка выполненных работ (услуг)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30.08.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Счет-фактура</w:t>
            </w:r>
          </w:p>
        </w:tc>
      </w:tr>
      <w:tr>
        <w:trPr>
          <w:trHeight w:val="258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</w:t>
            </w:r>
            <w:r>
              <w:rPr/>
              <w:t>Контрольная точка 1.4. Произведена оплата выполненных работ (услуг)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15.09.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Платежное поручение</w:t>
            </w:r>
          </w:p>
        </w:tc>
      </w:tr>
      <w:tr>
        <w:trPr>
          <w:trHeight w:val="182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1.2.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Cs/>
                <w:color w:val="000000"/>
                <w:u w:val="none" w:color="000000"/>
              </w:rPr>
              <w:t xml:space="preserve"> </w:t>
            </w:r>
            <w:r>
              <w:rPr>
                <w:bCs/>
                <w:color w:val="000000"/>
                <w:u w:val="none" w:color="000000"/>
              </w:rPr>
              <w:t xml:space="preserve">Организация малозатратных форм летней занятости (полевых лагерей, походов, экспедиций)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X</w:t>
            </w:r>
          </w:p>
        </w:tc>
      </w:tr>
      <w:tr>
        <w:trPr>
          <w:trHeight w:val="156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1.1. Закупка включена в план-график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31.01.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План-график</w:t>
            </w:r>
          </w:p>
        </w:tc>
      </w:tr>
      <w:tr>
        <w:trPr>
          <w:trHeight w:val="317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1.2. Заключение муниципального контракта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01.04.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Муниципальный контракт</w:t>
            </w:r>
          </w:p>
        </w:tc>
      </w:tr>
      <w:tr>
        <w:trPr>
          <w:trHeight w:val="317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1.3. Произведена приемка выполненных работ (услуг)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30.08.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Счет-фактура</w:t>
            </w:r>
          </w:p>
        </w:tc>
      </w:tr>
      <w:tr>
        <w:trPr>
          <w:trHeight w:val="317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1.4. Произведена оплата выполненных работ (услуг)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15.09.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Платежное поручение</w:t>
            </w:r>
          </w:p>
        </w:tc>
      </w:tr>
      <w:tr>
        <w:trPr>
          <w:trHeight w:val="126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1.3.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bCs/>
                <w:color w:val="000000"/>
                <w:u w:val="none" w:color="000000"/>
              </w:rPr>
              <w:t>Организация профильных смен для детей, состоящих на профилактическом учете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X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X</w:t>
            </w:r>
          </w:p>
        </w:tc>
      </w:tr>
      <w:tr>
        <w:trPr>
          <w:trHeight w:val="126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1.1. Закупка включена в план-график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31.01.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План-график</w:t>
            </w:r>
          </w:p>
        </w:tc>
      </w:tr>
      <w:tr>
        <w:trPr>
          <w:trHeight w:val="126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1.2. Заключение соглашений с юр. лицами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01.04.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Соглашение </w:t>
            </w:r>
          </w:p>
        </w:tc>
      </w:tr>
      <w:tr>
        <w:trPr>
          <w:trHeight w:val="126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1.3. Произведена приемка поставленного товара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30.08.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Счет-фактура</w:t>
            </w:r>
          </w:p>
        </w:tc>
      </w:tr>
      <w:tr>
        <w:trPr>
          <w:trHeight w:val="59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1.4. Произведена оплата товара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15.09.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Платежное поручение </w:t>
            </w:r>
          </w:p>
        </w:tc>
      </w:tr>
      <w:tr>
        <w:trPr>
          <w:trHeight w:val="59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Cs/>
                <w:color w:val="000000"/>
                <w:u w:val="none" w:color="000000"/>
              </w:rPr>
              <w:t>Предоставление субсидий на иные цели муниципальным бюджетным (автономным) учреждениям на обеспечение квалифицированной охраной объектов образовательных организаций 1,2 категорий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</w:tr>
      <w:tr>
        <w:trPr>
          <w:trHeight w:val="590" w:hRule="atLeast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1.4.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1.1. Закупка включена в план-график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31.01.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План-график</w:t>
            </w:r>
          </w:p>
        </w:tc>
      </w:tr>
      <w:tr>
        <w:trPr>
          <w:trHeight w:val="590" w:hRule="atLeast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1.2. Заключение муниципального контракта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01.04.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Муниципальный контракт</w:t>
            </w:r>
          </w:p>
        </w:tc>
      </w:tr>
      <w:tr>
        <w:trPr>
          <w:trHeight w:val="590" w:hRule="atLeast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1.3. Произведена приемка выполненных работ (услуг)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30.08.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Счет-фактура</w:t>
            </w:r>
          </w:p>
        </w:tc>
      </w:tr>
      <w:tr>
        <w:trPr>
          <w:trHeight w:val="590" w:hRule="atLeast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1.4. Произведена оплата выполненных работ (услуг)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15.09.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Платежное поручение</w:t>
            </w:r>
          </w:p>
        </w:tc>
      </w:tr>
    </w:tbl>
    <w:p>
      <w:pPr>
        <w:pStyle w:val="Normal"/>
        <w:spacing w:lineRule="auto" w:line="276" w:before="0" w:after="200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образования администрации                                                                                      М.Н. Хлынина </w:t>
      </w:r>
    </w:p>
    <w:sectPr>
      <w:headerReference w:type="even" r:id="rId2"/>
      <w:headerReference w:type="default" r:id="rId3"/>
      <w:headerReference w:type="first" r:id="rId4"/>
      <w:footnotePr>
        <w:numFmt w:val="decimal"/>
      </w:footnotePr>
      <w:type w:val="nextPage"/>
      <w:pgSz w:orient="landscape" w:w="16838" w:h="11906"/>
      <w:pgMar w:left="567" w:right="1134" w:gutter="0" w:header="709" w:top="766" w:footer="0" w:bottom="567"/>
      <w:pgNumType w:start="39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spacing w:before="0" w:after="0"/>
        <w:rPr>
          <w:rFonts w:ascii="Times New Roman" w:hAnsi="Times New Roman"/>
        </w:rPr>
      </w:pPr>
      <w:r>
        <w:rPr>
          <w:rStyle w:val="Style18"/>
        </w:rPr>
        <w:footnoteRef/>
      </w:r>
      <w:r>
        <w:rPr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922f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d069e7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qFormat/>
    <w:rsid w:val="00cb03f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cb03f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cb03f9"/>
    <w:rPr>
      <w:rFonts w:ascii="Tahoma" w:hAnsi="Tahoma" w:eastAsia="Times New Roman" w:cs="Tahoma"/>
      <w:sz w:val="16"/>
      <w:szCs w:val="16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4005c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d069e7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character" w:styleId="Style17" w:customStyle="1">
    <w:name w:val="Текст сноски Знак"/>
    <w:basedOn w:val="DefaultParagraphFont"/>
    <w:uiPriority w:val="99"/>
    <w:qFormat/>
    <w:rsid w:val="00783c86"/>
    <w:rPr>
      <w:rFonts w:eastAsia="" w:cs="Times New Roman" w:eastAsiaTheme="minorEastAsia"/>
      <w:sz w:val="20"/>
      <w:szCs w:val="20"/>
      <w:lang w:eastAsia="ru-RU"/>
    </w:rPr>
  </w:style>
  <w:style w:type="character" w:styleId="Style18">
    <w:name w:val="Символ сноски"/>
    <w:basedOn w:val="DefaultParagraphFont"/>
    <w:uiPriority w:val="99"/>
    <w:unhideWhenUsed/>
    <w:qFormat/>
    <w:rsid w:val="00783c86"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9">
    <w:name w:val="Символ концевой сноски"/>
    <w:qFormat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3"/>
    <w:rsid w:val="00cb03f9"/>
    <w:pPr>
      <w:jc w:val="both"/>
    </w:pPr>
    <w:rPr>
      <w:sz w:val="20"/>
      <w:szCs w:val="20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rsid w:val="00cb03f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cb03f9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13140d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6"/>
      <w:szCs w:val="26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4b58fb"/>
    <w:pPr>
      <w:spacing w:before="0" w:after="0"/>
      <w:ind w:left="720"/>
      <w:contextualSpacing/>
    </w:pPr>
    <w:rPr/>
  </w:style>
  <w:style w:type="paragraph" w:styleId="Footer">
    <w:name w:val="footer"/>
    <w:basedOn w:val="Normal"/>
    <w:link w:val="Style16"/>
    <w:uiPriority w:val="99"/>
    <w:unhideWhenUsed/>
    <w:rsid w:val="004005c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7"/>
    <w:uiPriority w:val="99"/>
    <w:unhideWhenUsed/>
    <w:rsid w:val="00783c86"/>
    <w:pPr>
      <w:spacing w:lineRule="auto" w:line="259" w:before="0" w:after="160"/>
    </w:pPr>
    <w:rPr>
      <w:rFonts w:ascii="Calibri" w:hAnsi="Calibri" w:eastAsia="" w:asciiTheme="minorHAnsi" w:eastAsiaTheme="minorEastAsia" w:hAnsiTheme="minorHAnsi"/>
      <w:sz w:val="20"/>
      <w:szCs w:val="20"/>
    </w:rPr>
  </w:style>
  <w:style w:type="paragraph" w:styleId="ConsPlusTitle" w:customStyle="1">
    <w:name w:val="ConsPlusTitle"/>
    <w:qFormat/>
    <w:rsid w:val="00ec1537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b/>
      <w:color w:val="auto"/>
      <w:kern w:val="0"/>
      <w:sz w:val="22"/>
      <w:szCs w:val="22"/>
      <w:lang w:eastAsia="ru-RU" w:val="ru-RU" w:bidi="ar-SA"/>
    </w:rPr>
  </w:style>
  <w:style w:type="numbering" w:styleId="Style2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B0FB4-C4FA-4535-83E6-0260A610E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6</Pages>
  <Words>1012</Words>
  <Characters>7058</Characters>
  <CharactersWithSpaces>8126</CharactersWithSpaces>
  <Paragraphs>386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2026-02-27T08:54:00Z</dcterms:created>
  <dc:creator>n.babyrina</dc:creator>
  <dc:description/>
  <dc:language>ru-RU</dc:language>
  <cp:lastModifiedBy/>
  <cp:lastPrinted>2024-10-23T06:13:00Z</cp:lastPrinted>
  <dcterms:modified xsi:type="dcterms:W3CDTF">2026-02-27T14:00:36Z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