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049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УТВЕРЖДЕН</w:t>
      </w:r>
    </w:p>
    <w:p>
      <w:pPr>
        <w:pStyle w:val="Normal"/>
        <w:ind w:left="10490"/>
        <w:jc w:val="center"/>
        <w:rPr>
          <w:sz w:val="28"/>
          <w:szCs w:val="28"/>
        </w:rPr>
      </w:pPr>
      <w:r>
        <w:rPr>
          <w:sz w:val="28"/>
          <w:szCs w:val="28"/>
        </w:rPr>
        <w:t>Протоколом управляющего совета муниципальной программы</w:t>
      </w:r>
    </w:p>
    <w:p>
      <w:pPr>
        <w:pStyle w:val="Normal"/>
        <w:ind w:left="1049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«Развитие муниципальной службы Копейского городского округа»</w:t>
      </w:r>
    </w:p>
    <w:p>
      <w:pPr>
        <w:pStyle w:val="Normal"/>
        <w:ind w:left="10490"/>
        <w:jc w:val="center"/>
        <w:rPr>
          <w:rFonts w:eastAsia="Calibri" w:eastAsiaTheme="minorHAnsi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20.01.2026 </w:t>
      </w:r>
      <w:r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2</w:t>
      </w:r>
    </w:p>
    <w:p>
      <w:pPr>
        <w:pStyle w:val="Normal"/>
        <w:spacing w:before="0" w:after="0"/>
        <w:ind w:left="9498"/>
        <w:contextualSpacing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/>
      </w:pPr>
      <w:r>
        <w:rPr/>
        <w:t>«Развитие муниципальной службы Копейского городского округа»</w:t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rPr>
          <w:sz w:val="2"/>
        </w:rPr>
      </w:pPr>
      <w:r>
        <w:rPr>
          <w:sz w:val="2"/>
        </w:rPr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250"/>
        <w:gridCol w:w="7886"/>
      </w:tblGrid>
      <w:tr>
        <w:trPr>
          <w:trHeight w:val="351" w:hRule="atLeast"/>
          <w:cantSplit w:val="true"/>
        </w:trPr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отдела муниципальной службы и кадров управления делами  и муниципальной службы (далее – отдел) Архипенко Марина Викторовна</w:t>
            </w:r>
          </w:p>
        </w:tc>
      </w:tr>
      <w:tr>
        <w:trPr>
          <w:trHeight w:val="286" w:hRule="atLeast"/>
          <w:cantSplit w:val="true"/>
        </w:trPr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Администрация Копейского городского округа</w:t>
            </w:r>
          </w:p>
        </w:tc>
      </w:tr>
      <w:tr>
        <w:trPr>
          <w:trHeight w:val="275" w:hRule="atLeast"/>
          <w:cantSplit w:val="true"/>
        </w:trPr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Развитие муниципальной службы Копейского городского округа</w:t>
            </w:r>
          </w:p>
        </w:tc>
      </w:tr>
    </w:tbl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09"/>
        <w:gridCol w:w="4752"/>
        <w:gridCol w:w="1348"/>
        <w:gridCol w:w="1217"/>
        <w:gridCol w:w="815"/>
        <w:gridCol w:w="947"/>
        <w:gridCol w:w="812"/>
        <w:gridCol w:w="814"/>
        <w:gridCol w:w="730"/>
        <w:gridCol w:w="45"/>
        <w:gridCol w:w="29"/>
        <w:gridCol w:w="15"/>
        <w:gridCol w:w="15"/>
        <w:gridCol w:w="811"/>
        <w:gridCol w:w="1876"/>
      </w:tblGrid>
      <w:tr>
        <w:trPr>
          <w:trHeight w:val="305" w:hRule="atLeast"/>
        </w:trPr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4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5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2" w:hRule="atLeast"/>
        </w:trPr>
        <w:tc>
          <w:tcPr>
            <w:tcW w:w="9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Задача 1: Совершенствование муниципальной нормативной правовой базы, регулирующей вопросы муниципальной службы. Повышение открытости деятельности органов местного самоуправления</w:t>
            </w:r>
          </w:p>
        </w:tc>
      </w:tr>
      <w:tr>
        <w:trPr>
          <w:trHeight w:val="258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1.1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Степень соответствия нормативной правовой базы по вопросам муниципальной службы законодательству Российской Федерации и Челябинской области, в процентах от общего количества принятых муниципальных нормативных правовых актов по вопросам муниципальной службы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%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 и муниципальной службы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2: Профессиональное развитие и профессиональное образование муниципальных служащих</w:t>
            </w:r>
          </w:p>
        </w:tc>
      </w:tr>
      <w:tr>
        <w:trPr>
          <w:trHeight w:val="258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2.1.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 xml:space="preserve">Доля муниципальных служащих, прошедших профессиональную подготовку, получивших дополнительное профессиональное образование, повышение квалификации, участвовавших в обучающих семинарах за счет средств областного и местного бюджетов от количества муниципальных служащих, запланированных к обучению в текущем году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%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 и муниципальной службы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3: Повышение эффективности работы с кадровым резервом. Формирование системы функционального кадрового резерва, внедрение эффективных методов подбора квалифицированных кадров для муниципальной службы, направленных на обеспечение повышения привлекательности и престижа муниципальной службы</w:t>
            </w:r>
          </w:p>
        </w:tc>
      </w:tr>
      <w:tr>
        <w:trPr>
          <w:trHeight w:val="258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>
                <w:lang w:val="en-US"/>
              </w:rPr>
            </w:pPr>
            <w:r>
              <w:rPr/>
              <w:t>3.1.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/>
              <w:jc w:val="center"/>
              <w:rPr>
                <w:rFonts w:eastAsia="Adobe Fangsong Std R"/>
              </w:rPr>
            </w:pPr>
            <w:r>
              <w:rPr>
                <w:rFonts w:eastAsia="Adobe Fangsong Std R"/>
              </w:rPr>
              <w:t>Доля должностей муниципальной службы округа, на которые сформирован    кадровый резерв:</w:t>
            </w:r>
          </w:p>
          <w:p>
            <w:pPr>
              <w:pStyle w:val="Normal"/>
              <w:widowControl w:val="false"/>
              <w:spacing w:lineRule="auto" w:line="228"/>
              <w:jc w:val="center"/>
              <w:rPr/>
            </w:pPr>
            <w:r>
              <w:rPr>
                <w:rFonts w:eastAsia="Adobe Fangsong Std R"/>
              </w:rPr>
              <w:t>- высшей группы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>
                <w:rFonts w:eastAsia="Adobe Fangsong Std R"/>
              </w:rPr>
              <w:t>- главной группы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%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 и муниципальной службы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4: Формирование и ведение единого реестра должностей муниципальной службы</w:t>
            </w:r>
          </w:p>
        </w:tc>
      </w:tr>
      <w:tr>
        <w:trPr>
          <w:trHeight w:val="258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4.1.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Доля муниципальных служащих, данные о которых включены в единую информационную систему реестра должностей муниципальной службы, к общему количеству муниципальных служащих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%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 и муниципальной службы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5: Информационное обеспечение развития муниципальной службы, развитие существующих информационных и информационно-поисковых систем по вопросам муниципальной службы</w:t>
            </w:r>
          </w:p>
        </w:tc>
      </w:tr>
      <w:tr>
        <w:trPr>
          <w:trHeight w:val="258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5.1.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Доля нормативно-правовых актов о муниципальной службе, размещенных на официальном сайте администрации округа от общего количества нормативно-правовых актов, подлежащих размещению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%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 и муниципальной службы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6: Совершенствование методической работы по вопросам муниципальной службы</w:t>
            </w:r>
          </w:p>
        </w:tc>
      </w:tr>
      <w:tr>
        <w:trPr>
          <w:trHeight w:val="258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6.1.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/>
              <w:rPr/>
            </w:pPr>
            <w:r>
              <w:rPr/>
              <w:t xml:space="preserve">Доля муниципальных служащих, прошедших аттестацию от общего числа муниципальных служащих, запланированных к прохождению аттестации в текущем году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%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 и муниципальной службы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7: Защита интересов муниципальных служащих администрации округа</w:t>
            </w:r>
          </w:p>
        </w:tc>
      </w:tr>
      <w:tr>
        <w:trPr>
          <w:trHeight w:val="258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7.1.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/>
              <w:rPr/>
            </w:pPr>
            <w:r>
              <w:rPr/>
              <w:t xml:space="preserve">Доля муниципальных служащих, застрахованных на случай причинения вреда здоровью и имуществу в связи с исполнением должностных обязанностей, от общего числа муниципальных служащих, запланированных к страхованию в текущем году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%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 и муниципальной службы</w:t>
            </w:r>
          </w:p>
        </w:tc>
      </w:tr>
      <w:tr>
        <w:trPr>
          <w:trHeight w:val="258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7.2.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/>
              <w:rPr/>
            </w:pPr>
            <w:r>
              <w:rPr/>
              <w:t>Доля муниципальных служащих, прошедших дополнительную диспансеризацию, от общего числа муниципальных служащих, запланированных к прохождению диспансеризации в текущем году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%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 и муниципальной службы</w:t>
            </w:r>
          </w:p>
        </w:tc>
      </w:tr>
    </w:tbl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28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5000" w:type="pct"/>
        <w:jc w:val="left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717"/>
        <w:gridCol w:w="2985"/>
        <w:gridCol w:w="1874"/>
        <w:gridCol w:w="2519"/>
        <w:gridCol w:w="1196"/>
        <w:gridCol w:w="1062"/>
        <w:gridCol w:w="799"/>
        <w:gridCol w:w="930"/>
        <w:gridCol w:w="796"/>
        <w:gridCol w:w="799"/>
        <w:gridCol w:w="666"/>
        <w:gridCol w:w="793"/>
      </w:tblGrid>
      <w:tr>
        <w:trPr>
          <w:trHeight w:val="524" w:hRule="atLeast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Базовое значение</w:t>
            </w:r>
          </w:p>
        </w:tc>
        <w:tc>
          <w:tcPr>
            <w:tcW w:w="4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7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2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8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>
        <w:trPr>
          <w:trHeight w:val="2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220" w:hRule="atLeast"/>
        </w:trPr>
        <w:tc>
          <w:tcPr>
            <w:tcW w:w="151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/>
              <w:rPr/>
            </w:pPr>
            <w:r>
              <w:rPr/>
              <w:t>Задача 1: Совершенствование муниципальной нормативной правовой базы, регулирующей вопросы муниципальной службы. Повышение открытости деятельности органов местного самоуправления</w:t>
            </w:r>
          </w:p>
        </w:tc>
      </w:tr>
      <w:tr>
        <w:trPr>
          <w:trHeight w:val="2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contextualSpacing/>
              <w:jc w:val="center"/>
              <w:rPr/>
            </w:pPr>
            <w:r>
              <w:rPr/>
              <w:t>Приведение муниципальных правовых актов, регулирующих вопросы муниципальной службы, в соответствие с законодательством Российской Федерации и Челябинской области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Осуществление текущей деятельности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Соответствия нормативной правовой базы по вопросам муниципальной службы законодательству Российской Федерации и Челябинской области -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60"/>
              <w:ind w:left="57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39" w:hRule="atLeast"/>
        </w:trPr>
        <w:tc>
          <w:tcPr>
            <w:tcW w:w="136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rPr/>
            </w:pPr>
            <w:r>
              <w:rPr/>
              <w:t>Задача 2: Профессиональное развитие и профессиональное образование муниципальных служащих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rPr/>
            </w:pPr>
            <w:r>
              <w:rPr/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rPr/>
            </w:pPr>
            <w:r>
              <w:rPr/>
            </w:r>
          </w:p>
        </w:tc>
      </w:tr>
      <w:tr>
        <w:trPr>
          <w:trHeight w:val="67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2.1.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ind w:left="114"/>
              <w:contextualSpacing/>
              <w:rPr/>
            </w:pPr>
            <w:r>
              <w:rPr/>
              <w:t>Повышение квалификации кадров и (или) профессиональная переподготовка</w:t>
            </w:r>
          </w:p>
          <w:p>
            <w:pPr>
              <w:pStyle w:val="Normal"/>
              <w:spacing w:lineRule="auto" w:line="228" w:before="0" w:after="0"/>
              <w:ind w:left="114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contextualSpacing/>
              <w:jc w:val="center"/>
              <w:rPr/>
            </w:pPr>
            <w:r>
              <w:rPr/>
              <w:t>Количество муниципальных служащих, прошедших профессиональную подготовку, получивших дополнительное профессиональное образование, повышение квалификации, участвовавших в обучающих семинарах за счет средств областного и местного бюджетов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Чел.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92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66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97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>
                <w:lang w:val="en-US"/>
              </w:rPr>
            </w:pPr>
            <w:r>
              <w:rPr/>
              <w:t>100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195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2.2.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ind w:left="114"/>
              <w:contextualSpacing/>
              <w:rPr>
                <w:bCs/>
                <w:color w:val="FF0000"/>
                <w:u w:val="none" w:color="000000"/>
              </w:rPr>
            </w:pPr>
            <w:r>
              <w:rPr/>
              <w:t>Систематизация нормативной базы по вопросам муниципальной службы, повышение качества подготовки муниципальных служащих к прохождению аттестации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Осуществление текущей деятельности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Доведение до сведения муниципальных служащих информации, необходимой для качественной подготовки к аттестации и аттестации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673" w:hRule="atLeast"/>
        </w:trPr>
        <w:tc>
          <w:tcPr>
            <w:tcW w:w="151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3: Повышение эффективности работы с кадровым резервом. Формирование системы функционального кадрового резерва, внедрение эффективных методов подбора квалифицированных кадров для муниципальной службы, направленных на обеспечение повышения привлекательности и престижа муниципальной службы</w:t>
            </w:r>
          </w:p>
        </w:tc>
      </w:tr>
      <w:tr>
        <w:trPr>
          <w:trHeight w:val="67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3.1.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/>
              <w:jc w:val="center"/>
              <w:rPr>
                <w:bCs/>
                <w:color w:val="FF0000"/>
                <w:u w:val="none" w:color="000000"/>
              </w:rPr>
            </w:pPr>
            <w:r>
              <w:rPr>
                <w:rFonts w:eastAsia="Adobe Fangsong Std R"/>
              </w:rPr>
              <w:t>Формирование кадрового резерва высшей группы и главной групп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Осуществление текущей деятельности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-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467" w:hRule="atLeast"/>
        </w:trPr>
        <w:tc>
          <w:tcPr>
            <w:tcW w:w="151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rPr/>
            </w:pPr>
            <w:r>
              <w:rPr/>
              <w:t>Задача 4: Формирование и ведение единого реестра должностей муниципальной службы</w:t>
            </w:r>
          </w:p>
        </w:tc>
      </w:tr>
      <w:tr>
        <w:trPr>
          <w:trHeight w:val="67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4.1.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Ведение реестра должностей муниципальной службы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Осуществление текущей деятельности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/>
              <w:jc w:val="center"/>
              <w:rPr>
                <w:rFonts w:eastAsia="Adobe Fangsong Std R"/>
              </w:rPr>
            </w:pPr>
            <w:r>
              <w:rPr>
                <w:rFonts w:eastAsia="Adobe Fangsong Std R"/>
              </w:rPr>
              <w:t>-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673" w:hRule="atLeast"/>
        </w:trPr>
        <w:tc>
          <w:tcPr>
            <w:tcW w:w="151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Задача 5: Информационное обеспечение развития муниципальной службы, развитие существующих информационных и информационно-поисковых систем по вопросам муниципальной службы</w:t>
            </w:r>
          </w:p>
        </w:tc>
      </w:tr>
      <w:tr>
        <w:trPr>
          <w:trHeight w:val="673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5.1.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28"/>
              <w:jc w:val="center"/>
              <w:rPr/>
            </w:pPr>
            <w:r>
              <w:rPr/>
              <w:t>Размещение нормативно-правовых актов о муниципальной службе на официальном сайте администрации округа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Осуществление текущей деятельности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28"/>
              <w:jc w:val="center"/>
              <w:rPr>
                <w:rFonts w:eastAsia="Adobe Fangsong Std R"/>
              </w:rPr>
            </w:pPr>
            <w:r>
              <w:rPr>
                <w:rFonts w:eastAsia="Adobe Fangsong Std R"/>
              </w:rPr>
              <w:t>-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420" w:hRule="atLeast"/>
        </w:trPr>
        <w:tc>
          <w:tcPr>
            <w:tcW w:w="151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rPr/>
            </w:pPr>
            <w:r>
              <w:rPr/>
              <w:t>Задача 6: Совершенствование методической работы по вопросам муниципальной службы</w:t>
            </w:r>
          </w:p>
        </w:tc>
      </w:tr>
      <w:tr>
        <w:trPr>
          <w:trHeight w:val="962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6.1.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/>
              <w:rPr/>
            </w:pPr>
            <w:r>
              <w:rPr/>
              <w:t>Проведение аттестации муниципальных служащих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Осуществление текущей деятельности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/>
              <w:jc w:val="center"/>
              <w:rPr/>
            </w:pPr>
            <w:r>
              <w:rPr/>
              <w:t>Количество муниципальных служащих, прошедших аттестацию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чел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30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30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30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30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30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30</w:t>
            </w:r>
          </w:p>
        </w:tc>
      </w:tr>
      <w:tr>
        <w:trPr>
          <w:trHeight w:val="333" w:hRule="atLeast"/>
        </w:trPr>
        <w:tc>
          <w:tcPr>
            <w:tcW w:w="136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rPr/>
            </w:pPr>
            <w:r>
              <w:rPr/>
              <w:t>Задача 7: Защита интересов муниципальных служащих администрации округа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rPr/>
            </w:pPr>
            <w:r>
              <w:rPr/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rPr/>
            </w:pPr>
            <w:r>
              <w:rPr/>
            </w:r>
          </w:p>
        </w:tc>
      </w:tr>
      <w:tr>
        <w:trPr>
          <w:trHeight w:val="344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>
                <w:highlight w:val="yellow"/>
              </w:rPr>
            </w:pPr>
            <w:r>
              <w:rPr/>
              <w:t>7.1.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ind w:left="114"/>
              <w:contextualSpacing/>
              <w:rPr>
                <w:bCs/>
                <w:color w:val="000000"/>
                <w:highlight w:val="yellow"/>
                <w:u w:val="none" w:color="000000"/>
              </w:rPr>
            </w:pPr>
            <w:r>
              <w:rPr/>
              <w:t>Страхование муниципальных служащих, на случай причинения вреда здоровью и имуществу в связи с исполнением должностных обязанностей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Количество муниципальных служащих, застрахованных на случай причинения вреда здоровью и имуществу в связи с исполнением должностных обязанностей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чел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226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211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238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238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238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238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238</w:t>
            </w:r>
          </w:p>
        </w:tc>
      </w:tr>
      <w:tr>
        <w:trPr>
          <w:trHeight w:val="344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7.2.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ind w:left="256"/>
              <w:contextualSpacing/>
              <w:rPr>
                <w:bCs/>
                <w:color w:val="000000"/>
                <w:u w:val="none" w:color="000000"/>
              </w:rPr>
            </w:pPr>
            <w:r>
              <w:rPr/>
              <w:t>Проведение дополнительной диспансеризации муниципальных служащих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Количество муниципальных служащих, прошедших дополнительную диспансеризацию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чел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253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201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238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238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238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238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 w:before="0" w:after="0"/>
              <w:contextualSpacing/>
              <w:jc w:val="center"/>
              <w:rPr/>
            </w:pPr>
            <w:r>
              <w:rPr/>
              <w:t>238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76" w:before="0" w:after="200"/>
        <w:jc w:val="center"/>
        <w:rPr/>
      </w:pPr>
      <w:r>
        <w:rPr/>
        <w:t>4.Финансовое обеспечение комплекса процессных мероприятий</w:t>
      </w:r>
    </w:p>
    <w:tbl>
      <w:tblPr>
        <w:tblW w:w="158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9"/>
        <w:gridCol w:w="4820"/>
        <w:gridCol w:w="1842"/>
        <w:gridCol w:w="1133"/>
        <w:gridCol w:w="1134"/>
        <w:gridCol w:w="1276"/>
        <w:gridCol w:w="1134"/>
        <w:gridCol w:w="1135"/>
        <w:gridCol w:w="1133"/>
        <w:gridCol w:w="1558"/>
      </w:tblGrid>
      <w:tr>
        <w:trPr>
          <w:trHeight w:val="30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Ответственный исполнитель</w:t>
            </w:r>
          </w:p>
        </w:tc>
        <w:tc>
          <w:tcPr>
            <w:tcW w:w="85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8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2029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</w:tr>
      <w:tr>
        <w:trPr>
          <w:trHeight w:val="143" w:hRule="atLeast"/>
        </w:trPr>
        <w:tc>
          <w:tcPr>
            <w:tcW w:w="158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Наименование задачи комплекса процессных мероприятий</w:t>
            </w:r>
          </w:p>
        </w:tc>
      </w:tr>
      <w:tr>
        <w:trPr>
          <w:trHeight w:val="252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2.1.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 w:before="0" w:after="0"/>
              <w:ind w:left="114"/>
              <w:contextualSpacing/>
              <w:rPr/>
            </w:pPr>
            <w:r>
              <w:rPr/>
              <w:t>Повышение квалификации кадров и (или) профессиональная переподготовка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Начальник отдела муниципальной службы и кадров управления делами  и муниципальной службы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317,36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831,50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831,50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831,50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831,50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831,50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4474,86</w:t>
            </w:r>
          </w:p>
        </w:tc>
      </w:tr>
      <w:tr>
        <w:trPr>
          <w:trHeight w:val="285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7.1.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Страхование муниципальных служащих, на случай причинения вреда здоровью и имуществу в связи с исполнением должностных обязанностей</w:t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169,47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239,50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239,50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239,50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239,50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239,50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1366,97</w:t>
            </w:r>
          </w:p>
        </w:tc>
      </w:tr>
      <w:tr>
        <w:trPr>
          <w:trHeight w:val="252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7.2.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Проведение дополнительной диспансеризации муниципальных служащих</w:t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874,24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1363,70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1363,70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1363,70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1363,70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1363,70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7692,74</w:t>
            </w:r>
          </w:p>
        </w:tc>
      </w:tr>
      <w:tr>
        <w:trPr>
          <w:trHeight w:val="285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Всего на реализацию комплекса процессных мероприятий, в т.ч.</w:t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1361,07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2434,70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2434,70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2434,70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2434,70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2434,70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13534,57</w:t>
            </w:r>
          </w:p>
        </w:tc>
      </w:tr>
      <w:tr>
        <w:trPr>
          <w:trHeight w:val="193" w:hRule="atLeast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местный бюджет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1361,07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2434,70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2434,70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2434,70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2434,70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2434,70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13534,57</w:t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tbl>
      <w:tblPr>
        <w:tblW w:w="157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98"/>
        <w:gridCol w:w="6672"/>
        <w:gridCol w:w="2127"/>
        <w:gridCol w:w="3663"/>
        <w:gridCol w:w="2217"/>
        <w:gridCol w:w="357"/>
      </w:tblGrid>
      <w:tr>
        <w:trPr>
          <w:trHeight w:val="874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>
                <w:vertAlign w:val="superscript"/>
              </w:rPr>
              <w:t>1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3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61" w:hRule="atLeast"/>
        </w:trPr>
        <w:tc>
          <w:tcPr>
            <w:tcW w:w="15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Задача 1: Совершенствование муниципальной нормативной правовой базы, регулирующей вопросы муниципальной службы. Повышение открытости деятельности органов местного самоуправления</w:t>
            </w:r>
          </w:p>
        </w:tc>
        <w:tc>
          <w:tcPr>
            <w:tcW w:w="357" w:type="dxa"/>
            <w:tcBorders/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164" w:hRule="atLeast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Приведение муниципальных правовых актов, регулирующих вопросы муниципальной службы, в соответствие с законодательством Российской Федерации и Челябинской области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69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1.1. – Приведение в соответствие с действующим законодательством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постоянно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Муниципальные правовые акты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77" w:hRule="atLeast"/>
        </w:trPr>
        <w:tc>
          <w:tcPr>
            <w:tcW w:w="15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Задача 2: Профессиональное развитие и профессиональное образование муниципальных служащих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Повышение квалификации кадров и (или) профессиональная подготовка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20" w:hRule="atLeast"/>
        </w:trPr>
        <w:tc>
          <w:tcPr>
            <w:tcW w:w="69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2.1. – Закупка включена в план график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ежегодно</w:t>
            </w:r>
          </w:p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themeColor="text1" w:val="000000"/>
              </w:rPr>
              <w:t>до 30 апреля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План – график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69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2.2. – Заключение муниципального контракта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ежегодно</w:t>
            </w:r>
          </w:p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до 30 октября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Муниципальный контракт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69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2.3. – Прохождение обучения сотрудниками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</w:t>
            </w:r>
          </w:p>
          <w:p>
            <w:pPr>
              <w:pStyle w:val="Normal"/>
              <w:jc w:val="center"/>
              <w:rPr/>
            </w:pPr>
            <w:r>
              <w:rPr/>
              <w:t>до 01 декабря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Доступ к учебным материалам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2.4. – Произведена приемка выполненных работ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</w:t>
            </w:r>
          </w:p>
          <w:p>
            <w:pPr>
              <w:pStyle w:val="Normal"/>
              <w:jc w:val="center"/>
              <w:rPr/>
            </w:pPr>
            <w:r>
              <w:rPr/>
              <w:t>до 15 декабря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2.5 – Произведена оплата выполненных работ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/>
              <w:rPr/>
            </w:pPr>
            <w:r>
              <w:rPr/>
              <w:t>Контрольная точка 2.6. – Выдача удостоверения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28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ежегодно</w:t>
            </w:r>
          </w:p>
          <w:p>
            <w:pPr>
              <w:pStyle w:val="Normal"/>
              <w:spacing w:lineRule="auto" w:line="228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до 31 декабря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/>
              <w:rPr/>
            </w:pPr>
            <w:r>
              <w:rPr/>
              <w:t xml:space="preserve">Отдел муниципальной службы и кадров управления делами и муниципальной службы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8"/>
              <w:rPr/>
            </w:pPr>
            <w:r>
              <w:rPr/>
              <w:t>Удостоверение о повышении квалификации выдано работнику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15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Задача 3: Повышение эффективности работы с кадровым резервом. Формирование системы функционального кадрового резерва, внедрение эффективных методов подбора квалифицированных кадров для муниципальной службы, направленных на обеспечение повышения привлекательности и престижа муниципальной службы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Формирование кадрового резерва высшей группы и главной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постоянно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3.1. – не определена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Х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15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Задача 4: Формирование и ведение единого реестра должностей муниципальной службы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Ведение реестра должностей муниципальной службы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постоянно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4.1. – не определена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Х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15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Задача 5: Информационное обеспечение развития муниципальной службы, развитие существующих информационных и информационно-поисковых систем по вопросам муниципальной службы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Размещение нормативно-правовых актов о муниципальной службе на официальном сайте администрации округа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постоянно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5.1. – не определена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Х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15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Задача 6: Совершенствование методической работы по вопросам муниципальной службы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Проведение аттестации муниципальных служащих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Х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6.1 – не определена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</w:t>
            </w:r>
          </w:p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/>
              <w:t>до 31 декабря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Протокол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15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Задача 7: Защита интересов муниципальных служащих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Страхование муниципальных служащих, на случай причинения вреда здоровью и имуществу в связи с исполнением должностных обязанностей</w:t>
            </w:r>
          </w:p>
          <w:p>
            <w:pPr>
              <w:pStyle w:val="Normal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7.1.Контрольная точка – Закупка включена в план график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30.04.2024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План – график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3.2. – Заключение муниципального контракта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</w:t>
            </w:r>
          </w:p>
          <w:p>
            <w:pPr>
              <w:pStyle w:val="Normal"/>
              <w:jc w:val="center"/>
              <w:rPr/>
            </w:pPr>
            <w:r>
              <w:rPr/>
              <w:t>до 01 декабря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Муниципальный контракт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3.3. – Произведена приемка выполненных работ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</w:t>
            </w:r>
          </w:p>
          <w:p>
            <w:pPr>
              <w:pStyle w:val="Normal"/>
              <w:jc w:val="center"/>
              <w:rPr/>
            </w:pPr>
            <w:r>
              <w:rPr/>
              <w:t>до 15 декабря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3.4. – Произведена оплата выполненных работ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Проведение дополнительной диспансеризации муниципальных служащих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4.1. – Закупка включена в план график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ежегодно</w:t>
            </w:r>
          </w:p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themeColor="text1" w:val="000000"/>
              </w:rPr>
              <w:t>до 30 апреля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План - график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4.2. – Заключение муниципального контракта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ежегодно</w:t>
            </w:r>
          </w:p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до 30 октября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Муниципальный контракт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4.3. – Произведена приемка выполненных работ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</w:t>
            </w:r>
          </w:p>
          <w:p>
            <w:pPr>
              <w:pStyle w:val="Normal"/>
              <w:jc w:val="center"/>
              <w:rPr/>
            </w:pPr>
            <w:r>
              <w:rPr/>
              <w:t>до 15 декабря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4.4. – Произведена оплата выполненных работ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  <w:tc>
          <w:tcPr>
            <w:tcW w:w="3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lineRule="auto" w:line="276" w:before="0" w:after="20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567" w:right="1134" w:gutter="0" w:header="709" w:top="1701" w:footer="0" w:bottom="567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9990324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70BF7-BCFB-48CB-B33C-60E32F27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10</Pages>
  <Words>1782</Words>
  <Characters>12516</Characters>
  <CharactersWithSpaces>13865</CharactersWithSpaces>
  <Paragraphs>475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2026-01-29T03:55:00Z</dcterms:created>
  <dc:creator>n.babyrina</dc:creator>
  <dc:description/>
  <dc:language>ru-RU</dc:language>
  <cp:lastModifiedBy/>
  <cp:lastPrinted>2024-09-30T10:43:00Z</cp:lastPrinted>
  <dcterms:modified xsi:type="dcterms:W3CDTF">2026-01-29T08:56:37Z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