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049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УТВЕРЖДЕН</w:t>
      </w:r>
    </w:p>
    <w:p>
      <w:pPr>
        <w:pStyle w:val="Normal"/>
        <w:ind w:left="10490"/>
        <w:rPr/>
      </w:pPr>
      <w:r>
        <w:rPr/>
        <w:t>Протоколом управляющего совета</w:t>
      </w:r>
    </w:p>
    <w:p>
      <w:pPr>
        <w:pStyle w:val="Normal"/>
        <w:ind w:left="10490"/>
        <w:rPr/>
      </w:pPr>
      <w:r>
        <w:rPr/>
        <w:t>Муниципальной программы «Снос зданий, строений, сооружений на территории Копейского городского округа»</w:t>
      </w:r>
    </w:p>
    <w:p>
      <w:pPr>
        <w:pStyle w:val="Normal"/>
        <w:ind w:left="10490"/>
        <w:rPr/>
      </w:pPr>
      <w:r>
        <w:rPr>
          <w:u w:val="single"/>
        </w:rPr>
        <w:t xml:space="preserve">от </w:t>
      </w:r>
      <w:r>
        <w:rPr>
          <w:u w:val="single"/>
        </w:rPr>
        <w:t>22.05.2026</w:t>
      </w:r>
      <w:r>
        <w:rPr>
          <w:u w:val="single"/>
        </w:rPr>
        <w:t xml:space="preserve">    </w:t>
      </w:r>
      <w:r>
        <w:rPr/>
        <w:t xml:space="preserve"> № _</w:t>
      </w:r>
      <w:r>
        <w:rPr/>
        <w:t>5</w:t>
      </w:r>
      <w:r>
        <w:rPr/>
        <w:t>_____</w:t>
      </w:r>
    </w:p>
    <w:p>
      <w:pPr>
        <w:pStyle w:val="Normal"/>
        <w:spacing w:before="0" w:after="0"/>
        <w:ind w:left="9498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hd w:val="clear" w:color="auto" w:fill="FFFFFF"/>
        <w:jc w:val="center"/>
        <w:rPr/>
      </w:pPr>
      <w:r>
        <w:rPr/>
        <w:t>«Снос зданий, строений, сооружений на территории Копейского городского округа»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tbl>
      <w:tblPr>
        <w:tblW w:w="1545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52"/>
        <w:gridCol w:w="8497"/>
      </w:tblGrid>
      <w:tr>
        <w:trPr>
          <w:trHeight w:val="351" w:hRule="atLeast"/>
          <w:cantSplit w:val="true"/>
        </w:trPr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Начальник управления городского хозяйства (далее – УГХ), Архипенко А.П..</w:t>
            </w:r>
          </w:p>
        </w:tc>
      </w:tr>
      <w:tr>
        <w:trPr>
          <w:trHeight w:val="286" w:hRule="atLeast"/>
          <w:cantSplit w:val="true"/>
        </w:trPr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Наименование главного распорядителя бюджетных средств</w:t>
            </w:r>
          </w:p>
        </w:tc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Администрация Копейского городского округа</w:t>
            </w:r>
          </w:p>
        </w:tc>
      </w:tr>
      <w:tr>
        <w:trPr>
          <w:trHeight w:val="275" w:hRule="atLeast"/>
          <w:cantSplit w:val="true"/>
        </w:trPr>
        <w:tc>
          <w:tcPr>
            <w:tcW w:w="6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Связь с муниципальной программой и подпрограммой (при наличии)</w:t>
            </w:r>
          </w:p>
        </w:tc>
        <w:tc>
          <w:tcPr>
            <w:tcW w:w="8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val="clear" w:color="auto" w:fill="FFFFFF"/>
              <w:jc w:val="center"/>
              <w:rPr/>
            </w:pPr>
            <w:r>
              <w:rPr/>
              <w:t>Снос зданий, строений, сооружений на территории Копейского городского округа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tbl>
      <w:tblPr>
        <w:tblW w:w="1545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0"/>
        <w:gridCol w:w="5014"/>
        <w:gridCol w:w="1364"/>
        <w:gridCol w:w="61"/>
        <w:gridCol w:w="1383"/>
        <w:gridCol w:w="718"/>
        <w:gridCol w:w="708"/>
        <w:gridCol w:w="709"/>
        <w:gridCol w:w="632"/>
        <w:gridCol w:w="85"/>
        <w:gridCol w:w="706"/>
        <w:gridCol w:w="706"/>
        <w:gridCol w:w="2653"/>
      </w:tblGrid>
      <w:tr>
        <w:trPr>
          <w:trHeight w:val="305" w:hRule="atLeast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5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42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</w:tc>
      </w:tr>
      <w:tr>
        <w:trPr>
          <w:trHeight w:val="812" w:hRule="atLeast"/>
        </w:trPr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0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4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265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8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7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11</w:t>
            </w:r>
          </w:p>
        </w:tc>
      </w:tr>
      <w:tr>
        <w:trPr>
          <w:trHeight w:val="258" w:hRule="atLeast"/>
        </w:trPr>
        <w:tc>
          <w:tcPr>
            <w:tcW w:w="1544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/>
            </w:pPr>
            <w:r>
              <w:rPr/>
              <w:t>Задача 1: снос ветхих и аварийных домов</w:t>
            </w:r>
          </w:p>
        </w:tc>
      </w:tr>
      <w:tr>
        <w:trPr>
          <w:trHeight w:val="258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Количество снесенных ветхих и аварийных домов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(ед.)</w:t>
            </w:r>
          </w:p>
        </w:tc>
        <w:tc>
          <w:tcPr>
            <w:tcW w:w="14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27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17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20</w:t>
            </w:r>
          </w:p>
        </w:tc>
        <w:tc>
          <w:tcPr>
            <w:tcW w:w="7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20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МУ «ГСЗ»</w:t>
            </w:r>
          </w:p>
        </w:tc>
      </w:tr>
      <w:tr>
        <w:trPr>
          <w:trHeight w:val="258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1.2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Количество подготовленных проектов организаций работ по сносу объектов капитального строительства (ветхих и аварийных домов на территории городского округа)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(ед.)</w:t>
            </w:r>
          </w:p>
        </w:tc>
        <w:tc>
          <w:tcPr>
            <w:tcW w:w="14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20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31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30</w:t>
            </w:r>
          </w:p>
        </w:tc>
        <w:tc>
          <w:tcPr>
            <w:tcW w:w="7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30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</w:tr>
      <w:tr>
        <w:trPr>
          <w:trHeight w:val="258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1.3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bCs/>
              </w:rPr>
            </w:pPr>
            <w:r>
              <w:rPr>
                <w:bCs/>
              </w:rPr>
              <w:t>Количество информационных табличек, размещенных на аварийных зданиях и жилых домах на территории городского округа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(ед.)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100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100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</w:tr>
      <w:tr>
        <w:trPr>
          <w:trHeight w:val="258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1.4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Количество ветхих и аварийных домов, у которых установлены ограждения и/или ограничения доступа к ним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(ед.)</w:t>
            </w:r>
          </w:p>
        </w:tc>
        <w:tc>
          <w:tcPr>
            <w:tcW w:w="14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</w:tr>
      <w:tr>
        <w:trPr>
          <w:trHeight w:val="258" w:hRule="atLeast"/>
        </w:trPr>
        <w:tc>
          <w:tcPr>
            <w:tcW w:w="1129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Задача 2: демонтаж капитальных объектов недвижимости, находящихся в муниципальной собственности</w:t>
            </w:r>
          </w:p>
        </w:tc>
        <w:tc>
          <w:tcPr>
            <w:tcW w:w="41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</w:r>
          </w:p>
        </w:tc>
      </w:tr>
      <w:tr>
        <w:trPr>
          <w:trHeight w:val="258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2.1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Количество демонтированных капитальных объектов</w:t>
            </w:r>
          </w:p>
        </w:tc>
        <w:tc>
          <w:tcPr>
            <w:tcW w:w="14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(ед.)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МУ «ГСЗ»;                      </w:t>
            </w:r>
            <w:r>
              <w:rPr>
                <w:szCs w:val="28"/>
              </w:rPr>
              <w:t>МУ «Спортивные сооружения КГО»;  УИиЗО</w:t>
            </w:r>
          </w:p>
        </w:tc>
      </w:tr>
      <w:tr>
        <w:trPr>
          <w:trHeight w:val="258" w:hRule="atLeast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2.2</w:t>
            </w:r>
          </w:p>
        </w:tc>
        <w:tc>
          <w:tcPr>
            <w:tcW w:w="5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Количество подготовленных проектов организации работ по сносу объектов капитального строительства</w:t>
            </w:r>
          </w:p>
        </w:tc>
        <w:tc>
          <w:tcPr>
            <w:tcW w:w="142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(ед.)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26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МУ «ГСЗ»; </w:t>
            </w:r>
            <w:r>
              <w:rPr>
                <w:szCs w:val="28"/>
              </w:rPr>
              <w:t>МУ «Спортивные сооружения КГО»;  УИиЗО</w:t>
            </w:r>
          </w:p>
        </w:tc>
      </w:tr>
      <w:tr>
        <w:trPr>
          <w:trHeight w:val="285" w:hRule="atLeast"/>
        </w:trPr>
        <w:tc>
          <w:tcPr>
            <w:tcW w:w="1544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Задача 3: демонтаж некапитальных объектов (незаконно размещенных нестационарных объектов, для установки которых не требуется разрешение на строительство, рекламных конструкций, гаражей, хозяйственных построек и иных сооружений), а также объектов, находящихся в разрушенном состоянии и представляющих угрозу жизни и здоровью граждан</w:t>
            </w:r>
          </w:p>
        </w:tc>
      </w:tr>
      <w:tr>
        <w:trPr>
          <w:trHeight w:val="285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3.1</w:t>
            </w:r>
          </w:p>
        </w:tc>
        <w:tc>
          <w:tcPr>
            <w:tcW w:w="5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Количество демонтированных  некапитальных объектов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(ед.)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25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50</w:t>
            </w:r>
          </w:p>
        </w:tc>
        <w:tc>
          <w:tcPr>
            <w:tcW w:w="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50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0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/>
              <w:t>МУ «ГСЗ»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  <w:t xml:space="preserve">3. Мероприятия (результаты) комплекса процессных мероприятий </w:t>
      </w:r>
    </w:p>
    <w:tbl>
      <w:tblPr>
        <w:tblW w:w="15418" w:type="dxa"/>
        <w:jc w:val="left"/>
        <w:tblInd w:w="61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675"/>
        <w:gridCol w:w="3674"/>
        <w:gridCol w:w="1989"/>
        <w:gridCol w:w="2832"/>
        <w:gridCol w:w="37"/>
        <w:gridCol w:w="1238"/>
        <w:gridCol w:w="711"/>
        <w:gridCol w:w="712"/>
        <w:gridCol w:w="714"/>
        <w:gridCol w:w="711"/>
        <w:gridCol w:w="695"/>
        <w:gridCol w:w="711"/>
        <w:gridCol w:w="718"/>
      </w:tblGrid>
      <w:tr>
        <w:trPr>
          <w:trHeight w:val="524" w:hRule="atLeast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Тип мероприятия (результата)</w:t>
            </w:r>
          </w:p>
        </w:tc>
        <w:tc>
          <w:tcPr>
            <w:tcW w:w="2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/>
            </w:pPr>
            <w:r>
              <w:rPr/>
              <w:t>Характеристика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Единицы измерения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2024</w:t>
            </w:r>
          </w:p>
        </w:tc>
        <w:tc>
          <w:tcPr>
            <w:tcW w:w="42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6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6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2025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2026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2027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2028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2029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2030</w:t>
            </w:r>
          </w:p>
        </w:tc>
      </w:tr>
      <w:tr>
        <w:trPr>
          <w:trHeight w:val="220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11</w:t>
            </w:r>
          </w:p>
        </w:tc>
      </w:tr>
      <w:tr>
        <w:trPr>
          <w:trHeight w:val="220" w:hRule="atLeast"/>
        </w:trPr>
        <w:tc>
          <w:tcPr>
            <w:tcW w:w="154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rPr/>
            </w:pPr>
            <w:r>
              <w:rPr/>
              <w:t>Задача 1: снос ветхих и аварийных домов</w:t>
            </w:r>
          </w:p>
        </w:tc>
      </w:tr>
      <w:tr>
        <w:trPr>
          <w:trHeight w:val="17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Организация сноса ветхих и аварийных домов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Приобретение товаров, работ, услуг</w:t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  <w:t>Количество снесенных ветхих и аварийных домов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27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17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</w:tr>
      <w:tr>
        <w:trPr>
          <w:trHeight w:val="179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Подготовка проектов организации работ по сносу объектов капитального строительства (ветхих и аварийных домов) на территории городского округа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Приобретение товаров, работ, услуг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Количество подготовленных проектов организаций работ по сносу объектов капитального строительства (ветхих и аварийных домов на территории городского округа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</w:tr>
      <w:tr>
        <w:trPr>
          <w:trHeight w:val="179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1.3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Оказание услуг по размещению табличек на аварийные здания и жилые дома на территории городского округа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Приобретение товаров, работ, услуг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Количество информационных табличек, размещенных на аварийных зданиях и жилых домах на территории городского округа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(ед.)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100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100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100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7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1.4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Организация установления ограждений и/или ограничений доступа к </w:t>
            </w:r>
            <w:r>
              <w:rPr>
                <w:bCs/>
              </w:rPr>
              <w:t>ветхим и аварийным домам, подлежащим сносу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bCs/>
                <w:color w:val="000000"/>
              </w:rPr>
            </w:pPr>
            <w:r>
              <w:rPr/>
              <w:t>Приобретение товаров, работ, услуг</w:t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Количество ветхих и аварийных домов, у которых установлены ограждения и/или ограничения доступа к ним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</w:tr>
      <w:tr>
        <w:trPr>
          <w:trHeight w:val="179" w:hRule="atLeast"/>
        </w:trPr>
        <w:tc>
          <w:tcPr>
            <w:tcW w:w="154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Задача 2: демонтаж капитальных объектов недвижимости, находящихся в муниципальной собственности</w:t>
            </w:r>
          </w:p>
        </w:tc>
      </w:tr>
      <w:tr>
        <w:trPr>
          <w:trHeight w:val="179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2.1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/>
              <w:t>Организация демонтажа капитальных объектов недвижимости, находящихся в муниципальной собственности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Приобретение товаров, работ, услуг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Количество демонтированных капитальных объектов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</w:tr>
      <w:tr>
        <w:trPr>
          <w:trHeight w:val="35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2.2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/>
              <w:t>Подготовка проектов организации работ по сносу объектов капитального строительства</w:t>
            </w:r>
          </w:p>
        </w:tc>
        <w:tc>
          <w:tcPr>
            <w:tcW w:w="19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Приобретение товаров, работ, услуг</w:t>
            </w:r>
          </w:p>
        </w:tc>
        <w:tc>
          <w:tcPr>
            <w:tcW w:w="2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Количество подготовленных проектов организации работ по сносу объектов капитального строительства</w:t>
            </w:r>
          </w:p>
        </w:tc>
        <w:tc>
          <w:tcPr>
            <w:tcW w:w="127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7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</w:tr>
      <w:tr>
        <w:trPr>
          <w:trHeight w:val="359" w:hRule="atLeast"/>
        </w:trPr>
        <w:tc>
          <w:tcPr>
            <w:tcW w:w="154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Задача 3: демонтаж некапитальных объектов (незаконно размещенных нестационарных объектов, для установки которых не требуется разрешение на строительство, рекламных конструкций, гаражей, хозяйственных построек и иных сооружений), а также объектов, находящихся в разрушенном состоянии и представляющих угрозу жизни и здоровью граждан</w:t>
            </w:r>
          </w:p>
        </w:tc>
      </w:tr>
      <w:tr>
        <w:trPr>
          <w:trHeight w:val="359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3.1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Cs/>
              </w:rPr>
            </w:pPr>
            <w:r>
              <w:rPr>
                <w:bCs/>
              </w:rPr>
              <w:t>Организация демонтажа некапитальных объектов (незаконно размещенных нестационарных объектов, для установки которых не требуется разрешение на строительство, рекламных конструкций, гаражей, хозяйственных построек и иных сооружений), а также объектов, находящихся в разрушенном состоянии и представляющих угрозу жизни и здоровью граждан</w:t>
            </w:r>
          </w:p>
        </w:tc>
        <w:tc>
          <w:tcPr>
            <w:tcW w:w="1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Приобретение товаров, работ, услуг</w:t>
            </w:r>
          </w:p>
        </w:tc>
        <w:tc>
          <w:tcPr>
            <w:tcW w:w="2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Количество демонтированных объектов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(ед.)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25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50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0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4. Финансовое обеспечение комплекса процессных мероприятий</w:t>
      </w:r>
    </w:p>
    <w:tbl>
      <w:tblPr>
        <w:tblW w:w="15454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1"/>
        <w:gridCol w:w="5235"/>
        <w:gridCol w:w="2119"/>
        <w:gridCol w:w="1065"/>
        <w:gridCol w:w="1063"/>
        <w:gridCol w:w="1057"/>
        <w:gridCol w:w="1213"/>
        <w:gridCol w:w="666"/>
        <w:gridCol w:w="326"/>
        <w:gridCol w:w="750"/>
        <w:gridCol w:w="111"/>
        <w:gridCol w:w="1266"/>
      </w:tblGrid>
      <w:tr>
        <w:trPr>
          <w:trHeight w:val="303" w:hRule="atLeast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№</w:t>
            </w:r>
          </w:p>
        </w:tc>
        <w:tc>
          <w:tcPr>
            <w:tcW w:w="5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Ответственный исполнитель</w:t>
            </w:r>
          </w:p>
        </w:tc>
        <w:tc>
          <w:tcPr>
            <w:tcW w:w="75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2029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2030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43" w:hRule="atLeast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143" w:hRule="atLeast"/>
        </w:trPr>
        <w:tc>
          <w:tcPr>
            <w:tcW w:w="154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rPr/>
            </w:pPr>
            <w:r>
              <w:rPr/>
              <w:t>Задача 1: снос ветхих и аварийных домов</w:t>
            </w:r>
          </w:p>
        </w:tc>
      </w:tr>
      <w:tr>
        <w:trPr>
          <w:trHeight w:val="193" w:hRule="atLeast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  <w:color w:val="000000"/>
              </w:rPr>
              <w:t>Организация сноса ветхих и аварийных домов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 «ГСЗ»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04" w:right="-108"/>
              <w:jc w:val="center"/>
              <w:rPr/>
            </w:pPr>
            <w:r>
              <w:rPr/>
              <w:t>3370,51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04" w:right="-108"/>
              <w:jc w:val="center"/>
              <w:rPr/>
            </w:pPr>
            <w:r>
              <w:rPr/>
              <w:t>9815,40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04" w:right="-108"/>
              <w:jc w:val="center"/>
              <w:rPr/>
            </w:pPr>
            <w:r>
              <w:rPr/>
              <w:t>15100,00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15100,00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fldChar w:fldCharType="begin"/>
            </w:r>
            <w:r>
              <w:rPr/>
              <w:instrText xml:space="preserve"> =D6+E6+F6+G6</w:instrText>
            </w:r>
            <w:r>
              <w:rPr/>
              <w:fldChar w:fldCharType="separate"/>
            </w:r>
            <w:r>
              <w:rPr/>
              <w:t>43385,91</w:t>
            </w:r>
            <w:r>
              <w:rPr/>
              <w:fldChar w:fldCharType="end"/>
            </w:r>
          </w:p>
        </w:tc>
      </w:tr>
      <w:tr>
        <w:trPr>
          <w:trHeight w:val="193" w:hRule="atLeast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1.2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Подготовка проектов организации работ по сносу объектов капитального строительства (ветхих и аварийных домов) на территории городского округа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 «ГСЗ»</w:t>
            </w:r>
          </w:p>
          <w:p>
            <w:pPr>
              <w:pStyle w:val="Normal"/>
              <w:ind w:left="5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800,00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800,00</w:t>
            </w:r>
          </w:p>
        </w:tc>
      </w:tr>
      <w:tr>
        <w:trPr>
          <w:trHeight w:val="193" w:hRule="atLeast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1.3</w:t>
            </w:r>
          </w:p>
        </w:tc>
        <w:tc>
          <w:tcPr>
            <w:tcW w:w="5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Оказание услуг по размещению табличек на аварийные здания и жилые дома на территории городского округа</w:t>
            </w:r>
          </w:p>
        </w:tc>
        <w:tc>
          <w:tcPr>
            <w:tcW w:w="21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 «ГСЗ»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dark1" w:val="000000"/>
              </w:rPr>
            </w:pPr>
            <w:r>
              <w:rPr>
                <w:color w:themeColor="dark1" w:val="000000"/>
              </w:rPr>
              <w:t>0,00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5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1.4</w:t>
            </w:r>
          </w:p>
        </w:tc>
        <w:tc>
          <w:tcPr>
            <w:tcW w:w="5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Организация установления ограждений и/или ограничений доступа к </w:t>
            </w:r>
            <w:r>
              <w:rPr>
                <w:bCs/>
              </w:rPr>
              <w:t>ветхим и аварийным домам, подлежащим сносу</w:t>
            </w:r>
          </w:p>
        </w:tc>
        <w:tc>
          <w:tcPr>
            <w:tcW w:w="21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 «ГСЗ»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8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21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themeColor="dark1" w:val="000000"/>
              </w:rPr>
            </w:pPr>
            <w:r>
              <w:rPr>
                <w:color w:themeColor="dark1" w:val="000000"/>
              </w:rPr>
              <w:t>0,00</w:t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6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15452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Задача 2: демонтаж капитальных объектов недвижимости, находящихся в муниципальной собственности</w:t>
            </w:r>
          </w:p>
        </w:tc>
      </w:tr>
      <w:tr>
        <w:trPr>
          <w:trHeight w:val="193" w:hRule="atLeast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2.1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/>
              <w:t>Организация демонтажа капитальных объектов недвижимости, находящихся в муниципальной собственности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7" w:leader="none"/>
              </w:tabs>
              <w:snapToGrid w:val="false"/>
              <w:spacing w:before="0" w:after="0"/>
              <w:contextualSpacing/>
              <w:jc w:val="center"/>
              <w:rPr/>
            </w:pPr>
            <w:r>
              <w:rPr/>
              <w:t>МУ «ГСЗ»;</w:t>
            </w:r>
          </w:p>
          <w:p>
            <w:pPr>
              <w:pStyle w:val="Normal"/>
              <w:tabs>
                <w:tab w:val="clear" w:pos="708"/>
                <w:tab w:val="left" w:pos="277" w:leader="none"/>
              </w:tabs>
              <w:snapToGrid w:val="false"/>
              <w:spacing w:before="0" w:after="0"/>
              <w:contextualSpacing/>
              <w:jc w:val="center"/>
              <w:rPr/>
            </w:pPr>
            <w:r>
              <w:rPr>
                <w:szCs w:val="28"/>
              </w:rPr>
              <w:t>МУ «Спортивные сооружения КГО»;  УИиЗО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354,00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354,00</w:t>
            </w:r>
          </w:p>
        </w:tc>
      </w:tr>
      <w:tr>
        <w:trPr>
          <w:trHeight w:val="193" w:hRule="atLeast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2.2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/>
            </w:pPr>
            <w:r>
              <w:rPr/>
              <w:t>Подготовка проектов организации работ по сносу объектов капитального строительства</w:t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 «ГСЗ»;</w:t>
            </w:r>
          </w:p>
          <w:p>
            <w:pPr>
              <w:pStyle w:val="Normal"/>
              <w:jc w:val="center"/>
              <w:rPr/>
            </w:pPr>
            <w:r>
              <w:rPr>
                <w:szCs w:val="28"/>
              </w:rPr>
              <w:t>МУ «Спортивные сооружения КГО»;  УИиЗО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</w:tr>
      <w:tr>
        <w:trPr>
          <w:trHeight w:val="193" w:hRule="atLeast"/>
        </w:trPr>
        <w:tc>
          <w:tcPr>
            <w:tcW w:w="1545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Задача 3: демонтаж некапитальных объектов (незаконно размещенных нестационарных объектов, для установки которых не требуется разрешение на строительство, рекламных конструкций, гаражей, хозяйственных построек и иных сооружений), а также объектов, находящихся в разрушенном состоянии и представляющих угрозу жизни и здоровью граждан</w:t>
            </w:r>
          </w:p>
        </w:tc>
      </w:tr>
      <w:tr>
        <w:trPr>
          <w:trHeight w:val="2222" w:hRule="atLeast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3.1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Организация демонтажа некапитальных объектов (незаконно размещенных нестационарных объектов, для установки которых не требуется разрешение на строительство, рекламных конструкций, гаражей, хозяйственных построек и иных сооружений), а также объектов, находящихся в разрушенном состоянии и представляющих угрозу жизни и здоровью граждан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7" w:leader="none"/>
              </w:tabs>
              <w:snapToGrid w:val="false"/>
              <w:spacing w:before="0" w:after="0"/>
              <w:contextualSpacing/>
              <w:jc w:val="center"/>
              <w:rPr/>
            </w:pPr>
            <w:r>
              <w:rPr/>
              <w:t>МУ «ГСЗ»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833,06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3706,11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4500,00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4500,00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fldChar w:fldCharType="begin"/>
            </w:r>
            <w:r>
              <w:rPr/>
              <w:instrText xml:space="preserve"> =D20+E20+F20+G20</w:instrText>
            </w:r>
            <w:r>
              <w:rPr/>
              <w:fldChar w:fldCharType="separate"/>
            </w:r>
            <w:r>
              <w:rPr/>
              <w:t>13539,17</w:t>
            </w:r>
            <w:r>
              <w:rPr/>
              <w:fldChar w:fldCharType="end"/>
            </w:r>
          </w:p>
        </w:tc>
      </w:tr>
      <w:tr>
        <w:trPr>
          <w:trHeight w:val="193" w:hRule="atLeast"/>
        </w:trPr>
        <w:tc>
          <w:tcPr>
            <w:tcW w:w="58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Всего на реализацию комплекса процессных мероприятий, в т.ч.</w:t>
            </w: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color w:val="C9211E"/>
              </w:rPr>
            </w:pPr>
            <w:r>
              <w:rPr>
                <w:color w:val="C9211E"/>
              </w:rPr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221" w:hRule="atLeast"/>
        </w:trPr>
        <w:tc>
          <w:tcPr>
            <w:tcW w:w="58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04" w:right="-38"/>
              <w:contextualSpacing/>
              <w:jc w:val="center"/>
              <w:rPr/>
            </w:pPr>
            <w:r>
              <w:rPr/>
              <w:fldChar w:fldCharType="begin"/>
            </w:r>
            <w:r>
              <w:rPr/>
              <w:instrText xml:space="preserve"> =D6+D15+D20</w:instrText>
            </w:r>
            <w:r>
              <w:rPr/>
              <w:fldChar w:fldCharType="separate"/>
            </w:r>
            <w:r>
              <w:rPr/>
              <w:t>4557,57</w:t>
            </w:r>
            <w:r>
              <w:rPr/>
              <w:fldChar w:fldCharType="end"/>
            </w:r>
          </w:p>
        </w:tc>
        <w:tc>
          <w:tcPr>
            <w:tcW w:w="10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04" w:right="-38"/>
              <w:contextualSpacing/>
              <w:jc w:val="center"/>
              <w:rPr/>
            </w:pPr>
            <w:r>
              <w:rPr/>
              <w:fldChar w:fldCharType="begin"/>
            </w:r>
            <w:r>
              <w:rPr/>
              <w:instrText xml:space="preserve"> =E6+E8+E20</w:instrText>
            </w:r>
            <w:r>
              <w:rPr/>
              <w:fldChar w:fldCharType="separate"/>
            </w:r>
            <w:r>
              <w:rPr/>
              <w:t>14321,51</w:t>
            </w:r>
            <w:r>
              <w:rPr/>
              <w:fldChar w:fldCharType="end"/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104" w:right="-38"/>
              <w:contextualSpacing/>
              <w:jc w:val="center"/>
              <w:rPr/>
            </w:pPr>
            <w:r>
              <w:rPr/>
              <w:t>19600,00</w:t>
            </w:r>
          </w:p>
        </w:tc>
        <w:tc>
          <w:tcPr>
            <w:tcW w:w="1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19600,00</w:t>
            </w:r>
          </w:p>
        </w:tc>
        <w:tc>
          <w:tcPr>
            <w:tcW w:w="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fldChar w:fldCharType="begin"/>
            </w:r>
            <w:r>
              <w:rPr/>
              <w:instrText xml:space="preserve"> =C22+D22+E22+F22</w:instrText>
            </w:r>
            <w:r>
              <w:rPr/>
              <w:fldChar w:fldCharType="separate"/>
            </w:r>
            <w:r>
              <w:rPr/>
              <w:t>58079,08</w:t>
            </w:r>
            <w:r>
              <w:rPr/>
              <w:fldChar w:fldCharType="end"/>
            </w:r>
          </w:p>
        </w:tc>
      </w:tr>
    </w:tbl>
    <w:p>
      <w:pPr>
        <w:pStyle w:val="Normal"/>
        <w:spacing w:lineRule="auto" w:line="276"/>
        <w:ind w:left="360"/>
        <w:jc w:val="center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5. План реализации комплекса процессных мероприятий</w:t>
      </w:r>
    </w:p>
    <w:tbl>
      <w:tblPr>
        <w:tblW w:w="1545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93"/>
        <w:gridCol w:w="7931"/>
        <w:gridCol w:w="2271"/>
        <w:gridCol w:w="2460"/>
        <w:gridCol w:w="2196"/>
      </w:tblGrid>
      <w:tr>
        <w:trPr>
          <w:trHeight w:val="874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№</w:t>
            </w:r>
            <w:r>
              <w:rPr>
                <w:vertAlign w:val="superscript"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Задача, мероприятие (результат) /</w:t>
            </w:r>
          </w:p>
          <w:p>
            <w:pPr>
              <w:pStyle w:val="Normal"/>
              <w:jc w:val="center"/>
              <w:rPr/>
            </w:pPr>
            <w:r>
              <w:rPr/>
              <w:t>контрольная точка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наступления контрольной точки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исполнитель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>
          <w:trHeight w:val="173" w:hRule="atLeast"/>
        </w:trPr>
        <w:tc>
          <w:tcPr>
            <w:tcW w:w="154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Задача 1. снос ветхих и аварийных домов</w:t>
            </w:r>
          </w:p>
        </w:tc>
      </w:tr>
      <w:tr>
        <w:trPr>
          <w:trHeight w:val="258" w:hRule="atLeast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  <w:color w:val="000000"/>
              </w:rPr>
              <w:t>Организация сноса ветхих и аварийных домов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МУ «ГСЗ»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8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</w:t>
            </w:r>
          </w:p>
          <w:p>
            <w:pPr>
              <w:pStyle w:val="Normal"/>
              <w:jc w:val="center"/>
              <w:rPr/>
            </w:pPr>
            <w:r>
              <w:rPr/>
              <w:t>апреля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План закупок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8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мая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Реестр контрактов</w:t>
            </w:r>
          </w:p>
        </w:tc>
      </w:tr>
      <w:tr>
        <w:trPr>
          <w:trHeight w:val="258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258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  <w:tr>
        <w:trPr>
          <w:trHeight w:val="258" w:hRule="atLeast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1.2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>Подготовка проектов организации работ по сносу объектов капитального строительства (ветхих и аварийных домов) на территории городского округа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 «ГСЗ»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8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апреля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План закупок</w:t>
            </w:r>
          </w:p>
        </w:tc>
      </w:tr>
      <w:tr>
        <w:trPr>
          <w:trHeight w:val="258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мая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Реестр контрактов</w:t>
            </w:r>
          </w:p>
        </w:tc>
      </w:tr>
      <w:tr>
        <w:trPr>
          <w:trHeight w:val="258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258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  <w:tr>
        <w:trPr>
          <w:trHeight w:val="258" w:hRule="atLeast"/>
        </w:trPr>
        <w:tc>
          <w:tcPr>
            <w:tcW w:w="5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1.3</w:t>
            </w:r>
          </w:p>
        </w:tc>
        <w:tc>
          <w:tcPr>
            <w:tcW w:w="7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размещению табличек на аварийные здания и жилые дома на территории городского округа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 «ГСЗ»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8" w:hRule="atLeast"/>
        </w:trPr>
        <w:tc>
          <w:tcPr>
            <w:tcW w:w="5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апреля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План закупок</w:t>
            </w:r>
          </w:p>
        </w:tc>
      </w:tr>
      <w:tr>
        <w:trPr>
          <w:trHeight w:val="258" w:hRule="atLeast"/>
        </w:trPr>
        <w:tc>
          <w:tcPr>
            <w:tcW w:w="5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мая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Реестр контрактов</w:t>
            </w:r>
          </w:p>
        </w:tc>
      </w:tr>
      <w:tr>
        <w:trPr>
          <w:trHeight w:val="258" w:hRule="atLeast"/>
        </w:trPr>
        <w:tc>
          <w:tcPr>
            <w:tcW w:w="5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258" w:hRule="atLeast"/>
        </w:trPr>
        <w:tc>
          <w:tcPr>
            <w:tcW w:w="5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  <w:tr>
        <w:trPr>
          <w:trHeight w:val="258" w:hRule="atLeast"/>
        </w:trPr>
        <w:tc>
          <w:tcPr>
            <w:tcW w:w="5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1.4</w:t>
            </w:r>
          </w:p>
        </w:tc>
        <w:tc>
          <w:tcPr>
            <w:tcW w:w="7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Организация установления ограждений и/или ограничений доступа к </w:t>
            </w:r>
            <w:r>
              <w:rPr>
                <w:bCs/>
              </w:rPr>
              <w:t>ветхим и аварийным домам, подлежащим сносу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 «ГСЗ»</w:t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58" w:hRule="atLeast"/>
        </w:trPr>
        <w:tc>
          <w:tcPr>
            <w:tcW w:w="5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апреля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План закупок</w:t>
            </w:r>
          </w:p>
        </w:tc>
      </w:tr>
      <w:tr>
        <w:trPr>
          <w:trHeight w:val="258" w:hRule="atLeast"/>
        </w:trPr>
        <w:tc>
          <w:tcPr>
            <w:tcW w:w="5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мая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Реестр контрактов</w:t>
            </w:r>
          </w:p>
        </w:tc>
      </w:tr>
      <w:tr>
        <w:trPr>
          <w:trHeight w:val="258" w:hRule="atLeast"/>
        </w:trPr>
        <w:tc>
          <w:tcPr>
            <w:tcW w:w="5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258" w:hRule="atLeast"/>
        </w:trPr>
        <w:tc>
          <w:tcPr>
            <w:tcW w:w="5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  <w:tr>
        <w:trPr>
          <w:trHeight w:val="258" w:hRule="atLeast"/>
        </w:trPr>
        <w:tc>
          <w:tcPr>
            <w:tcW w:w="154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Задача 2: демонтаж капитальных объектов недвижимости, находящихся в муниципальной собственности</w:t>
            </w:r>
          </w:p>
        </w:tc>
      </w:tr>
      <w:tr>
        <w:trPr>
          <w:trHeight w:val="156" w:hRule="atLeast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2.1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демонтажа капитальных объектов недвижимости, находящихся в муниципальной собственности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77" w:leader="none"/>
              </w:tabs>
              <w:snapToGrid w:val="false"/>
              <w:spacing w:before="0" w:after="0"/>
              <w:contextualSpacing/>
              <w:jc w:val="center"/>
              <w:rPr/>
            </w:pPr>
            <w:r>
              <w:rPr/>
              <w:t>МУ «ГСЗ»,</w:t>
            </w:r>
          </w:p>
          <w:p>
            <w:pPr>
              <w:pStyle w:val="Normal"/>
              <w:tabs>
                <w:tab w:val="clear" w:pos="708"/>
                <w:tab w:val="left" w:pos="277" w:leader="none"/>
              </w:tabs>
              <w:snapToGrid w:val="false"/>
              <w:spacing w:before="0" w:after="0"/>
              <w:contextualSpacing/>
              <w:jc w:val="center"/>
              <w:rPr/>
            </w:pPr>
            <w:r>
              <w:rPr>
                <w:szCs w:val="28"/>
              </w:rPr>
              <w:t>МУ «Спортивные сооружения КГО»,  УИиЗО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56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апреля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План закупок</w:t>
            </w:r>
          </w:p>
        </w:tc>
      </w:tr>
      <w:tr>
        <w:trPr>
          <w:trHeight w:val="156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мая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Реестр контрактов</w:t>
            </w:r>
          </w:p>
        </w:tc>
      </w:tr>
      <w:tr>
        <w:trPr>
          <w:trHeight w:val="156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156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  <w:tr>
        <w:trPr>
          <w:trHeight w:val="317" w:hRule="atLeast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2.2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проектов организации работ по сносу объектов капитального строительства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277" w:leader="none"/>
              </w:tabs>
              <w:snapToGrid w:val="false"/>
              <w:spacing w:before="0" w:after="0"/>
              <w:contextualSpacing/>
              <w:jc w:val="center"/>
              <w:rPr/>
            </w:pPr>
            <w:r>
              <w:rPr/>
              <w:t>МУ «ГСЗ»,</w:t>
            </w:r>
          </w:p>
          <w:p>
            <w:pPr>
              <w:pStyle w:val="Normal"/>
              <w:tabs>
                <w:tab w:val="clear" w:pos="708"/>
                <w:tab w:val="left" w:pos="277" w:leader="none"/>
              </w:tabs>
              <w:snapToGrid w:val="false"/>
              <w:spacing w:before="0" w:after="0"/>
              <w:contextualSpacing/>
              <w:jc w:val="center"/>
              <w:rPr/>
            </w:pPr>
            <w:r>
              <w:rPr>
                <w:szCs w:val="28"/>
              </w:rPr>
              <w:t>МУ «Спортивные сооружения КГО»,  УИиЗО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17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апреля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План закупок</w:t>
            </w:r>
          </w:p>
        </w:tc>
      </w:tr>
      <w:tr>
        <w:trPr>
          <w:trHeight w:val="317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мая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Реестр контрактов</w:t>
            </w:r>
          </w:p>
        </w:tc>
      </w:tr>
      <w:tr>
        <w:trPr>
          <w:trHeight w:val="317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317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  <w:tr>
        <w:trPr>
          <w:trHeight w:val="317" w:hRule="atLeast"/>
        </w:trPr>
        <w:tc>
          <w:tcPr>
            <w:tcW w:w="1545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Задача 3: демонтаж некапитальных объектов (незаконно размещенных нестационарных объектов, для установки которых не требуется разрешение на строительство, рекламных конструкций, гаражей, хозяйственных построек и иных сооружений), а также объектов, находящихся в разрушенном состоянии и представляющих угрозу жизни и здоровью граждан</w:t>
            </w:r>
          </w:p>
        </w:tc>
      </w:tr>
      <w:tr>
        <w:trPr>
          <w:trHeight w:val="317" w:hRule="atLeast"/>
        </w:trPr>
        <w:tc>
          <w:tcPr>
            <w:tcW w:w="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3.1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Организация демонтажа некапитальных объектов (незаконно размещенных нестационарных объектов, для установки которых не требуется разрешение на строительство, рекламных конструкций, гаражей, хозяйственных построек и иных сооружений), а также объектов, находящихся в разрушенном состоянии и представляющих угрозу жизни и здоровью граждан</w:t>
            </w:r>
          </w:p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/>
            </w:pPr>
            <w:r>
              <w:rPr/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277" w:leader="none"/>
              </w:tabs>
              <w:snapToGrid w:val="false"/>
              <w:spacing w:before="0" w:after="0"/>
              <w:contextualSpacing/>
              <w:jc w:val="center"/>
              <w:rPr/>
            </w:pPr>
            <w:r>
              <w:rPr/>
              <w:t>МУ «ГСЗ»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317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апреля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План закупок</w:t>
            </w:r>
          </w:p>
        </w:tc>
      </w:tr>
      <w:tr>
        <w:trPr>
          <w:trHeight w:val="317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мая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Реестр контрактов</w:t>
            </w:r>
          </w:p>
        </w:tc>
      </w:tr>
      <w:tr>
        <w:trPr>
          <w:trHeight w:val="317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317" w:hRule="atLeast"/>
        </w:trPr>
        <w:tc>
          <w:tcPr>
            <w:tcW w:w="5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</w:tbl>
    <w:p>
      <w:pPr>
        <w:pStyle w:val="Normal"/>
        <w:spacing w:lineRule="auto" w:line="276" w:before="0" w:after="200"/>
        <w:contextualSpacing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567" w:right="1134" w:gutter="0" w:header="709" w:top="1174" w:footer="0" w:bottom="567"/>
      <w:pgNumType w:start="3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FreeSerif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spacing w:before="480" w:after="0"/>
      <w:outlineLvl w:val="0"/>
    </w:pPr>
    <w:rPr>
      <w:rFonts w:ascii="Cambria" w:hAnsi="Cambria" w:eastAsia="Calibri" w:cs="FreeSerif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qFormat/>
    <w:rPr>
      <w:rFonts w:ascii="Cambria" w:hAnsi="Cambria" w:eastAsia="Calibri" w:cs="FreeSerif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qFormat/>
    <w:rPr>
      <w:rFonts w:eastAsia="Calibri" w:cs="Times New Roman"/>
      <w:sz w:val="20"/>
      <w:szCs w:val="20"/>
      <w:lang w:eastAsia="ru-RU"/>
    </w:rPr>
  </w:style>
  <w:style w:type="character" w:styleId="Style18" w:customStyle="1">
    <w:name w:val="Символ сноски"/>
    <w:qFormat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9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20" w:customStyle="1">
    <w:name w:val="Символ нумерации"/>
    <w:qFormat/>
    <w:rPr/>
  </w:style>
  <w:style w:type="paragraph" w:styleId="Style21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13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3" w:customStyle="1">
    <w:name w:val="Колонтитул"/>
    <w:basedOn w:val="Normal"/>
    <w:qFormat/>
    <w:pPr/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qFormat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qFormat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pPr>
      <w:spacing w:lineRule="auto" w:line="259" w:before="0" w:after="160"/>
    </w:pPr>
    <w:rPr>
      <w:rFonts w:ascii="Calibri" w:hAnsi="Calibri" w:eastAsia="Calibri"/>
      <w:sz w:val="20"/>
      <w:szCs w:val="20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cs="Calibri" w:ascii="Calibri" w:hAnsi="Calibri" w:eastAsia="Calibri"/>
      <w:b/>
      <w:color w:val="auto"/>
      <w:kern w:val="0"/>
      <w:sz w:val="22"/>
      <w:szCs w:val="22"/>
      <w:lang w:eastAsia="ru-RU" w:val="ru-RU" w:bidi="ar-SA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EndnoteText">
    <w:name w:val="endnote text"/>
    <w:basedOn w:val="Normal"/>
    <w:pPr>
      <w:suppressLineNumbers/>
      <w:ind w:hanging="340" w:left="340"/>
    </w:pPr>
    <w:rPr>
      <w:sz w:val="20"/>
      <w:szCs w:val="20"/>
    </w:rPr>
  </w:style>
  <w:style w:type="paragraph" w:styleId="caption2" w:customStyle="1">
    <w:name w:val="caption2"/>
    <w:basedOn w:val="Normal"/>
    <w:qFormat/>
    <w:pPr>
      <w:spacing w:before="120" w:after="120"/>
    </w:pPr>
    <w:rPr>
      <w:rFonts w:cs="Lohit Devanagari"/>
      <w:i/>
      <w:iCs/>
    </w:rPr>
  </w:style>
  <w:style w:type="numbering" w:styleId="Style26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7</Pages>
  <Words>1673</Words>
  <Characters>10784</Characters>
  <CharactersWithSpaces>12023</CharactersWithSpaces>
  <Paragraphs>466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2026-06-09T10:14:00Z</dcterms:created>
  <dc:creator>n.babyrina</dc:creator>
  <dc:description/>
  <dc:language>ru-RU</dc:language>
  <cp:lastModifiedBy/>
  <cp:lastPrinted>2026-05-25T18:37:00Z</cp:lastPrinted>
  <dcterms:modified xsi:type="dcterms:W3CDTF">2026-06-09T15:16:19Z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