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BF" w:rsidRDefault="00737D2A">
      <w:pPr>
        <w:ind w:left="10206"/>
        <w:jc w:val="right"/>
        <w:outlineLvl w:val="0"/>
      </w:pPr>
      <w:bookmarkStart w:id="0" w:name="_GoBack"/>
      <w:bookmarkEnd w:id="0"/>
      <w:r>
        <w:t>Приложение</w:t>
      </w:r>
    </w:p>
    <w:p w:rsidR="00B97ABF" w:rsidRDefault="00737D2A">
      <w:pPr>
        <w:ind w:left="10206"/>
        <w:jc w:val="right"/>
        <w:outlineLvl w:val="0"/>
      </w:pPr>
      <w:r>
        <w:t>к муниципальной программе</w:t>
      </w:r>
    </w:p>
    <w:p w:rsidR="00B97ABF" w:rsidRDefault="00B97ABF">
      <w:pPr>
        <w:jc w:val="center"/>
      </w:pPr>
    </w:p>
    <w:p w:rsidR="00B97ABF" w:rsidRDefault="00737D2A">
      <w:pPr>
        <w:jc w:val="center"/>
      </w:pPr>
      <w:r>
        <w:t>ПАСПОРТ</w:t>
      </w:r>
    </w:p>
    <w:p w:rsidR="00B97ABF" w:rsidRDefault="00737D2A">
      <w:pPr>
        <w:jc w:val="center"/>
      </w:pPr>
      <w:r>
        <w:t>муниципальной программы</w:t>
      </w:r>
    </w:p>
    <w:p w:rsidR="00B97ABF" w:rsidRDefault="00737D2A">
      <w:pPr>
        <w:jc w:val="center"/>
      </w:pPr>
      <w:r>
        <w:t>«Энергосбережение и повышение энергетической эффективности в Копейском городском округе»</w:t>
      </w:r>
    </w:p>
    <w:p w:rsidR="00B97ABF" w:rsidRDefault="00737D2A">
      <w:pPr>
        <w:jc w:val="center"/>
      </w:pPr>
      <w:r>
        <w:tab/>
      </w:r>
    </w:p>
    <w:p w:rsidR="00B97ABF" w:rsidRDefault="00737D2A">
      <w:pPr>
        <w:pStyle w:val="aff2"/>
        <w:numPr>
          <w:ilvl w:val="0"/>
          <w:numId w:val="2"/>
        </w:numPr>
        <w:jc w:val="center"/>
      </w:pPr>
      <w:r>
        <w:t>Основные положения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810"/>
        <w:gridCol w:w="2917"/>
        <w:gridCol w:w="6627"/>
      </w:tblGrid>
      <w:tr w:rsidR="00B97ABF">
        <w:trPr>
          <w:trHeight w:val="371"/>
          <w:jc w:val="center"/>
        </w:trPr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Куратор муниципальной программы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>Филиппов Александр Сергеевич, заместитель Главы Копейского городского округа по жилищно-коммунальным вопросам</w:t>
            </w:r>
          </w:p>
        </w:tc>
      </w:tr>
      <w:tr w:rsidR="00B97ABF">
        <w:trPr>
          <w:trHeight w:val="525"/>
          <w:jc w:val="center"/>
        </w:trPr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Ответственный исполнитель муниципальной программы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>Администрация Копейского городского округа, управление городского хозяйства,  (далее -УГХ)</w:t>
            </w:r>
          </w:p>
        </w:tc>
      </w:tr>
      <w:tr w:rsidR="00B97ABF">
        <w:trPr>
          <w:trHeight w:val="353"/>
          <w:jc w:val="center"/>
        </w:trPr>
        <w:tc>
          <w:tcPr>
            <w:tcW w:w="5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Участники муниципальной программы</w:t>
            </w:r>
          </w:p>
          <w:p w:rsidR="00B97ABF" w:rsidRDefault="00B97ABF"/>
        </w:tc>
        <w:tc>
          <w:tcPr>
            <w:tcW w:w="9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>1.  МУ «Городская служба заказчика (далее - МУ «ГСЗ»)</w:t>
            </w:r>
          </w:p>
        </w:tc>
      </w:tr>
      <w:tr w:rsidR="00B97ABF">
        <w:trPr>
          <w:trHeight w:val="348"/>
          <w:jc w:val="center"/>
        </w:trPr>
        <w:tc>
          <w:tcPr>
            <w:tcW w:w="5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/>
        </w:tc>
        <w:tc>
          <w:tcPr>
            <w:tcW w:w="94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widowControl w:val="0"/>
              <w:jc w:val="both"/>
            </w:pPr>
            <w:r>
              <w:t>2. Управление образования администрации Копейского городского округа (далее - УО)</w:t>
            </w:r>
          </w:p>
        </w:tc>
      </w:tr>
      <w:tr w:rsidR="00B97ABF">
        <w:trPr>
          <w:trHeight w:val="237"/>
          <w:jc w:val="center"/>
        </w:trPr>
        <w:tc>
          <w:tcPr>
            <w:tcW w:w="5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Период реализации муниципальной программы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 xml:space="preserve">Этап </w:t>
            </w:r>
            <w:r>
              <w:rPr>
                <w:lang w:val="en-US"/>
              </w:rPr>
              <w:t>I</w:t>
            </w:r>
            <w:r>
              <w:t>: 2023-2024</w:t>
            </w:r>
          </w:p>
        </w:tc>
      </w:tr>
      <w:tr w:rsidR="00B97ABF">
        <w:trPr>
          <w:trHeight w:val="228"/>
          <w:jc w:val="center"/>
        </w:trPr>
        <w:tc>
          <w:tcPr>
            <w:tcW w:w="57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7ABF" w:rsidRDefault="00B97ABF"/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 xml:space="preserve">Этап </w:t>
            </w:r>
            <w:r>
              <w:rPr>
                <w:lang w:val="en-US"/>
              </w:rPr>
              <w:t>II</w:t>
            </w:r>
            <w:r>
              <w:t>: 2025-2030</w:t>
            </w:r>
          </w:p>
        </w:tc>
      </w:tr>
      <w:tr w:rsidR="00B97ABF">
        <w:trPr>
          <w:trHeight w:val="111"/>
          <w:jc w:val="center"/>
        </w:trPr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Цели/задачи муниципальной программы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Цель: повышение энергетической эффективности, экономии систем теплоснабжения  и системы уличного освещения; обеспечение бесперебойного и качественного освещения территории городского округа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widowControl w:val="0"/>
              <w:tabs>
                <w:tab w:val="left" w:pos="13371"/>
              </w:tabs>
              <w:jc w:val="both"/>
            </w:pPr>
          </w:p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  <w:color w:val="000000"/>
                <w:szCs w:val="20"/>
              </w:rPr>
              <w:t>Задача 1: организация уличног</w:t>
            </w:r>
            <w:r>
              <w:rPr>
                <w:bCs/>
                <w:color w:val="000000"/>
                <w:szCs w:val="20"/>
              </w:rPr>
              <w:t>о освещения на территории Копейского городского округа</w:t>
            </w:r>
          </w:p>
          <w:p w:rsidR="00B97ABF" w:rsidRDefault="00B97ABF">
            <w:pPr>
              <w:widowControl w:val="0"/>
              <w:tabs>
                <w:tab w:val="left" w:pos="13371"/>
              </w:tabs>
              <w:jc w:val="both"/>
            </w:pPr>
          </w:p>
          <w:p w:rsidR="00B97ABF" w:rsidRDefault="00737D2A">
            <w:pPr>
              <w:widowControl w:val="0"/>
              <w:tabs>
                <w:tab w:val="left" w:pos="13371"/>
              </w:tabs>
              <w:jc w:val="both"/>
            </w:pPr>
            <w:r>
              <w:t>Задача 2: повышение энергетической эффективности сетей уличного освещения</w:t>
            </w:r>
          </w:p>
          <w:p w:rsidR="00B97ABF" w:rsidRDefault="00B97ABF">
            <w:pPr>
              <w:widowControl w:val="0"/>
              <w:tabs>
                <w:tab w:val="left" w:pos="13371"/>
              </w:tabs>
              <w:jc w:val="both"/>
            </w:pPr>
          </w:p>
          <w:p w:rsidR="00B97ABF" w:rsidRDefault="00737D2A">
            <w:pPr>
              <w:pStyle w:val="a0"/>
              <w:jc w:val="left"/>
            </w:pPr>
            <w:r>
              <w:rPr>
                <w:sz w:val="24"/>
                <w:szCs w:val="24"/>
              </w:rPr>
              <w:t>Задача 3: повышение энергетической эффективности систем теплоснабжения муниципальных учреждений</w:t>
            </w:r>
          </w:p>
          <w:p w:rsidR="00B97ABF" w:rsidRDefault="00B97ABF">
            <w:pPr>
              <w:widowControl w:val="0"/>
              <w:tabs>
                <w:tab w:val="left" w:pos="13371"/>
              </w:tabs>
              <w:jc w:val="both"/>
            </w:pPr>
          </w:p>
        </w:tc>
      </w:tr>
      <w:tr w:rsidR="00B97ABF">
        <w:trPr>
          <w:trHeight w:val="461"/>
          <w:jc w:val="center"/>
        </w:trPr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141 980,98</w:t>
            </w:r>
          </w:p>
        </w:tc>
      </w:tr>
      <w:tr w:rsidR="00B97ABF">
        <w:trPr>
          <w:trHeight w:val="697"/>
          <w:jc w:val="center"/>
        </w:trPr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both"/>
            </w:pPr>
            <w:r>
              <w:t>-</w:t>
            </w:r>
          </w:p>
        </w:tc>
      </w:tr>
    </w:tbl>
    <w:p w:rsidR="00B97ABF" w:rsidRDefault="00B97ABF">
      <w:pPr>
        <w:pStyle w:val="a0"/>
        <w:jc w:val="center"/>
        <w:rPr>
          <w:sz w:val="24"/>
          <w:szCs w:val="24"/>
        </w:rPr>
      </w:pPr>
    </w:p>
    <w:p w:rsidR="00B97ABF" w:rsidRDefault="00B97ABF">
      <w:pPr>
        <w:pStyle w:val="a0"/>
        <w:jc w:val="center"/>
        <w:rPr>
          <w:sz w:val="24"/>
          <w:szCs w:val="24"/>
        </w:rPr>
      </w:pPr>
    </w:p>
    <w:p w:rsidR="00B97ABF" w:rsidRDefault="00B97ABF">
      <w:pPr>
        <w:pStyle w:val="a0"/>
        <w:jc w:val="center"/>
        <w:rPr>
          <w:sz w:val="24"/>
          <w:szCs w:val="24"/>
        </w:rPr>
      </w:pPr>
    </w:p>
    <w:p w:rsidR="00B97ABF" w:rsidRDefault="00B97ABF">
      <w:pPr>
        <w:pStyle w:val="a0"/>
        <w:jc w:val="center"/>
        <w:rPr>
          <w:sz w:val="24"/>
          <w:szCs w:val="24"/>
        </w:rPr>
      </w:pPr>
    </w:p>
    <w:p w:rsidR="00B97ABF" w:rsidRDefault="00737D2A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2. Показатели муниципальной 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96"/>
        <w:gridCol w:w="44"/>
        <w:gridCol w:w="2169"/>
        <w:gridCol w:w="216"/>
        <w:gridCol w:w="799"/>
        <w:gridCol w:w="216"/>
        <w:gridCol w:w="1068"/>
        <w:gridCol w:w="10"/>
        <w:gridCol w:w="1232"/>
        <w:gridCol w:w="13"/>
        <w:gridCol w:w="1470"/>
        <w:gridCol w:w="51"/>
        <w:gridCol w:w="1245"/>
        <w:gridCol w:w="18"/>
        <w:gridCol w:w="1487"/>
        <w:gridCol w:w="16"/>
        <w:gridCol w:w="1382"/>
        <w:gridCol w:w="10"/>
        <w:gridCol w:w="1374"/>
        <w:gridCol w:w="1738"/>
      </w:tblGrid>
      <w:tr w:rsidR="00B97ABF">
        <w:trPr>
          <w:trHeight w:val="305"/>
          <w:jc w:val="center"/>
        </w:trPr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3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</w:tr>
      <w:tr w:rsidR="00B97ABF">
        <w:trPr>
          <w:trHeight w:val="812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</w:tr>
      <w:tr w:rsidR="00B97ABF">
        <w:trPr>
          <w:trHeight w:val="258"/>
          <w:jc w:val="center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97ABF">
        <w:trPr>
          <w:trHeight w:val="258"/>
          <w:jc w:val="center"/>
        </w:trPr>
        <w:tc>
          <w:tcPr>
            <w:tcW w:w="153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Цели: </w:t>
            </w:r>
            <w:r>
              <w:rPr>
                <w:sz w:val="24"/>
                <w:szCs w:val="24"/>
              </w:rPr>
              <w:t>повышение энергетической эффективности, экономии систем теплоснабжения  и системы уличного освещения; обеспечение бесперебойного и качественного освещения территории городского округа</w:t>
            </w:r>
          </w:p>
        </w:tc>
      </w:tr>
      <w:tr w:rsidR="00B97ABF">
        <w:trPr>
          <w:trHeight w:val="258"/>
          <w:jc w:val="center"/>
        </w:trPr>
        <w:tc>
          <w:tcPr>
            <w:tcW w:w="153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  <w:color w:val="000000"/>
                <w:szCs w:val="20"/>
              </w:rPr>
              <w:t>1. Организация уличного освещения на территории Копейского городского округа</w:t>
            </w:r>
          </w:p>
        </w:tc>
      </w:tr>
      <w:tr w:rsidR="00B97ABF">
        <w:trPr>
          <w:trHeight w:val="258"/>
          <w:jc w:val="center"/>
        </w:trPr>
        <w:tc>
          <w:tcPr>
            <w:tcW w:w="8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3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rPr>
                <w:color w:val="000000"/>
              </w:rPr>
              <w:t xml:space="preserve">Количество улиц, обустроенных линиями наружного освещения </w:t>
            </w:r>
          </w:p>
        </w:tc>
        <w:tc>
          <w:tcPr>
            <w:tcW w:w="10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ед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3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3</w:t>
            </w:r>
          </w:p>
        </w:tc>
        <w:tc>
          <w:tcPr>
            <w:tcW w:w="14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0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0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t>УГХ</w:t>
            </w:r>
          </w:p>
        </w:tc>
      </w:tr>
      <w:tr w:rsidR="00B97ABF">
        <w:trPr>
          <w:trHeight w:val="258"/>
          <w:jc w:val="center"/>
        </w:trPr>
        <w:tc>
          <w:tcPr>
            <w:tcW w:w="1535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widowControl w:val="0"/>
              <w:tabs>
                <w:tab w:val="left" w:pos="13371"/>
              </w:tabs>
              <w:jc w:val="both"/>
            </w:pPr>
            <w:r>
              <w:t>2. Повышение энергетической эффективности сетей уличного освещения</w:t>
            </w:r>
          </w:p>
        </w:tc>
      </w:tr>
      <w:tr w:rsidR="00B97ABF">
        <w:trPr>
          <w:trHeight w:val="258"/>
          <w:jc w:val="center"/>
        </w:trPr>
        <w:tc>
          <w:tcPr>
            <w:tcW w:w="84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238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Объем экономии электрической энергии к уровню 2018 года</w:t>
            </w:r>
          </w:p>
          <w:p w:rsidR="00B97ABF" w:rsidRDefault="00B97ABF">
            <w:pPr>
              <w:tabs>
                <w:tab w:val="left" w:pos="10080"/>
              </w:tabs>
              <w:jc w:val="both"/>
            </w:pPr>
          </w:p>
          <w:p w:rsidR="00B97ABF" w:rsidRDefault="00B97ABF">
            <w:pPr>
              <w:tabs>
                <w:tab w:val="left" w:pos="10080"/>
              </w:tabs>
              <w:jc w:val="both"/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тыс. кВт</w:t>
            </w:r>
            <w:r>
              <w:rPr>
                <w:lang w:val="en-US"/>
              </w:rPr>
              <w:t>/</w:t>
            </w:r>
            <w:r>
              <w:t>ч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48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1408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B97ABF" w:rsidRDefault="00737D2A">
            <w:pPr>
              <w:jc w:val="center"/>
            </w:pPr>
            <w:r>
              <w:t>-</w:t>
            </w:r>
          </w:p>
          <w:p w:rsidR="00B97ABF" w:rsidRDefault="00B97ABF">
            <w:pPr>
              <w:jc w:val="center"/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-</w:t>
            </w:r>
          </w:p>
          <w:p w:rsidR="00B97ABF" w:rsidRDefault="00B97ABF">
            <w:pPr>
              <w:jc w:val="center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B97ABF">
        <w:trPr>
          <w:trHeight w:val="258"/>
          <w:jc w:val="center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Количество электроэнергии, потребляемой на уличное освещение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тыс. кВт/ч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1324,14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B97ABF">
        <w:trPr>
          <w:trHeight w:val="258"/>
          <w:jc w:val="center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Количество улиц, обустроенных линиями наружного освещения путем совместного подвеса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ед.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B97ABF">
        <w:trPr>
          <w:trHeight w:val="276"/>
          <w:jc w:val="center"/>
        </w:trPr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Количество отремонтированных участков сети наружного освещения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ед.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«ГСЗ»</w:t>
            </w:r>
          </w:p>
        </w:tc>
      </w:tr>
      <w:tr w:rsidR="00B97ABF">
        <w:trPr>
          <w:trHeight w:val="276"/>
          <w:jc w:val="center"/>
        </w:trPr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2.5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Количество объек-тов городской иллюминации, подлежащих де-монтажу/монтажу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 xml:space="preserve">шт. 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/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МУ «ГСЗ»</w:t>
            </w:r>
          </w:p>
          <w:p w:rsidR="00B97ABF" w:rsidRDefault="00B97ABF">
            <w:pPr>
              <w:pStyle w:val="a0"/>
              <w:jc w:val="center"/>
              <w:rPr>
                <w:sz w:val="24"/>
                <w:szCs w:val="24"/>
              </w:rPr>
            </w:pPr>
          </w:p>
        </w:tc>
      </w:tr>
      <w:tr w:rsidR="00B97ABF">
        <w:trPr>
          <w:trHeight w:val="276"/>
          <w:jc w:val="center"/>
        </w:trPr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  <w:color w:val="000000"/>
              </w:rPr>
              <w:t>Количество полученных положительных заключений государственной экспертизы на проектно-сметную документацию на строительство линий наружного освещения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line="240" w:lineRule="atLeast"/>
              <w:contextualSpacing/>
            </w:pPr>
            <w:r>
              <w:t>ед.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line="240" w:lineRule="atLeast"/>
              <w:contextualSpacing/>
              <w:jc w:val="both"/>
              <w:rPr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line="240" w:lineRule="atLeast"/>
              <w:contextualSpacing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4</w:t>
            </w:r>
          </w:p>
        </w:tc>
        <w:tc>
          <w:tcPr>
            <w:tcW w:w="13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4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4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t>УГХ</w:t>
            </w:r>
          </w:p>
        </w:tc>
      </w:tr>
      <w:tr w:rsidR="00B97ABF">
        <w:trPr>
          <w:trHeight w:val="276"/>
          <w:jc w:val="center"/>
        </w:trPr>
        <w:tc>
          <w:tcPr>
            <w:tcW w:w="1535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Повышение энергетической эффективности систем теплоснабжения муниципальных учреждений</w:t>
            </w:r>
          </w:p>
        </w:tc>
      </w:tr>
      <w:tr w:rsidR="00B97ABF">
        <w:trPr>
          <w:trHeight w:val="276"/>
          <w:jc w:val="center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отре-монтированных теплообменников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</w:tr>
    </w:tbl>
    <w:p w:rsidR="00B97ABF" w:rsidRDefault="00B97ABF">
      <w:pPr>
        <w:pStyle w:val="a0"/>
        <w:jc w:val="center"/>
        <w:rPr>
          <w:sz w:val="24"/>
          <w:szCs w:val="24"/>
        </w:rPr>
      </w:pPr>
    </w:p>
    <w:p w:rsidR="00B97ABF" w:rsidRDefault="00737D2A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57"/>
        <w:gridCol w:w="2746"/>
        <w:gridCol w:w="1043"/>
        <w:gridCol w:w="854"/>
        <w:gridCol w:w="873"/>
        <w:gridCol w:w="855"/>
        <w:gridCol w:w="856"/>
        <w:gridCol w:w="873"/>
        <w:gridCol w:w="855"/>
        <w:gridCol w:w="856"/>
        <w:gridCol w:w="873"/>
        <w:gridCol w:w="855"/>
        <w:gridCol w:w="855"/>
        <w:gridCol w:w="787"/>
        <w:gridCol w:w="1112"/>
      </w:tblGrid>
      <w:tr w:rsidR="00B97ABF">
        <w:trPr>
          <w:trHeight w:val="300"/>
          <w:tblHeader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№</w:t>
            </w:r>
          </w:p>
          <w:p w:rsidR="00B97ABF" w:rsidRDefault="00737D2A">
            <w:pPr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93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B97ABF" w:rsidRDefault="00737D2A">
            <w:pPr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jc w:val="center"/>
            </w:pPr>
            <w:r>
              <w:t>На конец</w:t>
            </w:r>
          </w:p>
          <w:p w:rsidR="00B97ABF" w:rsidRDefault="00737D2A">
            <w:pPr>
              <w:spacing w:line="240" w:lineRule="atLeast"/>
              <w:jc w:val="center"/>
            </w:pPr>
            <w:r>
              <w:t>отчетного периода</w:t>
            </w:r>
          </w:p>
        </w:tc>
      </w:tr>
      <w:tr w:rsidR="00B97ABF">
        <w:trPr>
          <w:trHeight w:val="177"/>
          <w:tblHeader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spacing w:before="60" w:after="60" w:line="240" w:lineRule="atLeast"/>
              <w:jc w:val="center"/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spacing w:before="60" w:after="60" w:line="240" w:lineRule="atLeast"/>
              <w:jc w:val="center"/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spacing w:before="60" w:after="60" w:line="240" w:lineRule="atLeast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spacing w:before="60" w:after="60" w:line="240" w:lineRule="atLeast"/>
              <w:jc w:val="center"/>
            </w:pPr>
          </w:p>
        </w:tc>
      </w:tr>
      <w:tr w:rsidR="00B97ABF">
        <w:trPr>
          <w:trHeight w:val="262"/>
          <w:tblHeader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B97ABF">
        <w:trPr>
          <w:trHeight w:val="262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spacing w:before="60" w:after="60" w:line="240" w:lineRule="atLeast"/>
              <w:jc w:val="center"/>
            </w:pPr>
          </w:p>
        </w:tc>
        <w:tc>
          <w:tcPr>
            <w:tcW w:w="1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</w:pPr>
            <w:r>
              <w:t>Показатели проектной части муниципальной программы</w:t>
            </w:r>
          </w:p>
        </w:tc>
      </w:tr>
      <w:tr w:rsidR="00B97ABF">
        <w:trPr>
          <w:trHeight w:val="262"/>
          <w:jc w:val="center"/>
        </w:trPr>
        <w:tc>
          <w:tcPr>
            <w:tcW w:w="15150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2025</w:t>
            </w:r>
          </w:p>
        </w:tc>
      </w:tr>
      <w:tr w:rsidR="00B97ABF">
        <w:trPr>
          <w:trHeight w:val="262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1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</w:pPr>
            <w:r>
              <w:t>Проект «Строительство линий наружного освещения»</w:t>
            </w:r>
          </w:p>
        </w:tc>
      </w:tr>
      <w:tr w:rsidR="00B97ABF">
        <w:trPr>
          <w:trHeight w:val="262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1.1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rPr>
                <w:bCs/>
              </w:rPr>
              <w:t>Количество улиц, обустроенных линиями наружного освещения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</w:tr>
      <w:tr w:rsidR="00B97ABF">
        <w:trPr>
          <w:trHeight w:val="371"/>
          <w:jc w:val="center"/>
        </w:trPr>
        <w:tc>
          <w:tcPr>
            <w:tcW w:w="15150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2026</w:t>
            </w:r>
          </w:p>
        </w:tc>
      </w:tr>
      <w:tr w:rsidR="00B97ABF">
        <w:trPr>
          <w:trHeight w:val="485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1429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</w:pPr>
            <w:r>
              <w:t>Проект «Строительство линий наружного освещения»</w:t>
            </w:r>
          </w:p>
        </w:tc>
      </w:tr>
      <w:tr w:rsidR="00B97ABF">
        <w:trPr>
          <w:trHeight w:val="262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1.2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rPr>
                <w:bCs/>
              </w:rPr>
              <w:t>Количество улиц, обустроенных линиями наружного освещения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</w:tr>
      <w:tr w:rsidR="00B97ABF">
        <w:trPr>
          <w:trHeight w:val="20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</w:pPr>
            <w:r>
              <w:t>Показатели процессной части муниципальной программы</w:t>
            </w:r>
          </w:p>
        </w:tc>
      </w:tr>
      <w:tr w:rsidR="00B97ABF">
        <w:trPr>
          <w:trHeight w:val="20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</w:pPr>
            <w:r>
              <w:t>КПМ «Энергосбережение и повышение энергетической эффективности в Копейском городском округе»</w:t>
            </w:r>
          </w:p>
        </w:tc>
      </w:tr>
      <w:tr w:rsidR="00B97ABF">
        <w:trPr>
          <w:trHeight w:val="208"/>
          <w:jc w:val="center"/>
        </w:trPr>
        <w:tc>
          <w:tcPr>
            <w:tcW w:w="15150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line="240" w:lineRule="atLeast"/>
              <w:ind w:left="134"/>
              <w:jc w:val="center"/>
            </w:pPr>
            <w:r>
              <w:t>2025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Объем экономии электрической энергии к уровню 2018 года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тыс. кВт</w:t>
            </w:r>
            <w:r>
              <w:rPr>
                <w:lang w:val="en-US"/>
              </w:rPr>
              <w:t>/</w:t>
            </w:r>
            <w:r>
              <w:t>ч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216,75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1083,75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1517,25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1950,75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2384,25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2601,00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Количество электроэнергии, потребляемой на уличное освещение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тыс. кВт/ч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164,14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1324,14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улиц, обустроенных линиями наружного освещения путем совместного подвеса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ед.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отремонтированных участков сети наружного освещения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ед.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объектов городской иллюминации, подлежащих де-монтажу/монтажу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 xml:space="preserve">шт. 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ABF">
        <w:trPr>
          <w:trHeight w:val="267"/>
          <w:jc w:val="center"/>
        </w:trPr>
        <w:tc>
          <w:tcPr>
            <w:tcW w:w="15150" w:type="dxa"/>
            <w:gridSpan w:val="1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line="240" w:lineRule="atLeast"/>
              <w:ind w:left="134"/>
              <w:jc w:val="center"/>
            </w:pPr>
            <w:r>
              <w:t>2026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Объем экономии электрической энергии к уровню 2018 года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тыс. кВт</w:t>
            </w:r>
            <w:r>
              <w:rPr>
                <w:lang w:val="en-US"/>
              </w:rPr>
              <w:t>/</w:t>
            </w:r>
            <w:r>
              <w:t>ч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0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both"/>
            </w:pPr>
            <w:r>
              <w:t>Количество электроэнергии, потребляемой на уличное освещение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10080"/>
              </w:tabs>
              <w:jc w:val="center"/>
            </w:pPr>
            <w:r>
              <w:t>тыс. кВт/ч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улиц, обустроенных линиями наружного освещения путем совместного подвеса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ед.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отремонтированных участков сети наружного освещения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ед.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r>
              <w:t>Количество объектов городской иллюминации, подлежащих де-монтажу/монтажу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 xml:space="preserve">шт. 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ind w:lef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ABF">
        <w:trPr>
          <w:trHeight w:val="69"/>
          <w:jc w:val="center"/>
        </w:trPr>
        <w:tc>
          <w:tcPr>
            <w:tcW w:w="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2.6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</w:rPr>
              <w:t>Количество полученных положительных заключений государственной экспертизы на проектно-сметную документацию на строительство линий наружного освещения</w:t>
            </w: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11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spacing w:before="60" w:after="60" w:line="240" w:lineRule="atLeast"/>
              <w:jc w:val="center"/>
            </w:pPr>
            <w:r>
              <w:t>4</w:t>
            </w:r>
          </w:p>
        </w:tc>
      </w:tr>
    </w:tbl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B97ABF" w:rsidRDefault="00737D2A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112" w:type="dxa"/>
        <w:jc w:val="center"/>
        <w:tblLayout w:type="fixed"/>
        <w:tblLook w:val="01E0" w:firstRow="1" w:lastRow="1" w:firstColumn="1" w:lastColumn="1" w:noHBand="0" w:noVBand="0"/>
      </w:tblPr>
      <w:tblGrid>
        <w:gridCol w:w="507"/>
        <w:gridCol w:w="7181"/>
        <w:gridCol w:w="3825"/>
        <w:gridCol w:w="3599"/>
      </w:tblGrid>
      <w:tr w:rsidR="00B97ABF">
        <w:trPr>
          <w:trHeight w:val="49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№ п/п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Связь</w:t>
            </w:r>
          </w:p>
          <w:p w:rsidR="00B97ABF" w:rsidRDefault="00737D2A">
            <w:pPr>
              <w:jc w:val="center"/>
            </w:pPr>
            <w:r>
              <w:t>с показателями</w:t>
            </w:r>
          </w:p>
          <w:p w:rsidR="00B97ABF" w:rsidRDefault="00B97ABF">
            <w:pPr>
              <w:jc w:val="center"/>
              <w:rPr>
                <w:i/>
              </w:rPr>
            </w:pPr>
          </w:p>
        </w:tc>
      </w:tr>
      <w:tr w:rsidR="00B97ABF">
        <w:trPr>
          <w:trHeight w:val="27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1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3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4</w:t>
            </w:r>
          </w:p>
        </w:tc>
      </w:tr>
      <w:tr w:rsidR="00B97ABF">
        <w:trPr>
          <w:trHeight w:val="271"/>
          <w:jc w:val="center"/>
        </w:trPr>
        <w:tc>
          <w:tcPr>
            <w:tcW w:w="15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contextualSpacing/>
              <w:jc w:val="center"/>
            </w:pPr>
            <w:r>
              <w:t>проект    «</w:t>
            </w:r>
            <w:r>
              <w:rPr>
                <w:bCs/>
              </w:rPr>
              <w:t>Строительство линий наружного освещения</w:t>
            </w:r>
            <w:r>
              <w:rPr>
                <w:sz w:val="22"/>
                <w:szCs w:val="20"/>
              </w:rPr>
              <w:t>»</w:t>
            </w:r>
          </w:p>
        </w:tc>
      </w:tr>
      <w:tr w:rsidR="00B97ABF">
        <w:trPr>
          <w:trHeight w:val="271"/>
          <w:jc w:val="center"/>
        </w:trPr>
        <w:tc>
          <w:tcPr>
            <w:tcW w:w="7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Ответственный за реализацию УГХ</w:t>
            </w:r>
          </w:p>
        </w:tc>
        <w:tc>
          <w:tcPr>
            <w:tcW w:w="7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Срок реализации 2025-2030</w:t>
            </w:r>
          </w:p>
        </w:tc>
      </w:tr>
      <w:tr w:rsidR="00B97ABF">
        <w:trPr>
          <w:trHeight w:val="271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1</w:t>
            </w:r>
          </w:p>
        </w:tc>
        <w:tc>
          <w:tcPr>
            <w:tcW w:w="7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  <w:color w:val="000000"/>
                <w:szCs w:val="20"/>
              </w:rPr>
              <w:t>Организация уличного освещения на территории Копейского городского округа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Доведение уровня освещенности на территории Копейского городского округа до нормативной</w:t>
            </w: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1.1</w:t>
            </w:r>
          </w:p>
        </w:tc>
      </w:tr>
      <w:tr w:rsidR="00B97ABF">
        <w:trPr>
          <w:trHeight w:val="415"/>
          <w:jc w:val="center"/>
        </w:trPr>
        <w:tc>
          <w:tcPr>
            <w:tcW w:w="1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КПМ  Энергосбережение и повышение энергетической эффективности в Копейском</w:t>
            </w:r>
            <w:r>
              <w:t xml:space="preserve"> городском округе</w:t>
            </w:r>
          </w:p>
        </w:tc>
      </w:tr>
      <w:tr w:rsidR="00B97ABF">
        <w:trPr>
          <w:trHeight w:val="295"/>
          <w:jc w:val="center"/>
        </w:trPr>
        <w:tc>
          <w:tcPr>
            <w:tcW w:w="7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Ответственный за реализацию УГХ</w:t>
            </w:r>
          </w:p>
        </w:tc>
        <w:tc>
          <w:tcPr>
            <w:tcW w:w="7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Срок реализации 2025-2030</w:t>
            </w:r>
          </w:p>
        </w:tc>
      </w:tr>
      <w:tr w:rsidR="00B97ABF">
        <w:trPr>
          <w:trHeight w:val="17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2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widowControl w:val="0"/>
              <w:tabs>
                <w:tab w:val="left" w:pos="13371"/>
              </w:tabs>
              <w:jc w:val="both"/>
            </w:pPr>
            <w:r>
              <w:t>Повышение энергетической эффективности сетей уличного освещения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Экономия электроэнергии и улучшение, улучшение состояния и оснащенности сети уличного освещения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2.1; 2.2; 2.3; 2.4; 2,5; 2.6</w:t>
            </w:r>
          </w:p>
        </w:tc>
      </w:tr>
      <w:tr w:rsidR="00B97ABF">
        <w:trPr>
          <w:trHeight w:val="171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3</w:t>
            </w:r>
          </w:p>
        </w:tc>
        <w:tc>
          <w:tcPr>
            <w:tcW w:w="7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widowControl w:val="0"/>
              <w:tabs>
                <w:tab w:val="left" w:pos="13371"/>
              </w:tabs>
              <w:jc w:val="both"/>
            </w:pPr>
            <w:r>
              <w:t>Повышение энергетической эффективности систем теплоснабжения муниципальных учреждений</w:t>
            </w:r>
          </w:p>
        </w:tc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Текущий ремонт теплообменников</w:t>
            </w:r>
          </w:p>
        </w:tc>
        <w:tc>
          <w:tcPr>
            <w:tcW w:w="3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jc w:val="center"/>
            </w:pPr>
            <w:r>
              <w:t>3.1</w:t>
            </w:r>
          </w:p>
        </w:tc>
      </w:tr>
    </w:tbl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737D2A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019" w:type="dxa"/>
        <w:jc w:val="center"/>
        <w:tblLayout w:type="fixed"/>
        <w:tblLook w:val="0000" w:firstRow="0" w:lastRow="0" w:firstColumn="0" w:lastColumn="0" w:noHBand="0" w:noVBand="0"/>
      </w:tblPr>
      <w:tblGrid>
        <w:gridCol w:w="3676"/>
        <w:gridCol w:w="2401"/>
        <w:gridCol w:w="1688"/>
        <w:gridCol w:w="1255"/>
        <w:gridCol w:w="1267"/>
        <w:gridCol w:w="1276"/>
        <w:gridCol w:w="850"/>
        <w:gridCol w:w="1134"/>
        <w:gridCol w:w="1472"/>
      </w:tblGrid>
      <w:tr w:rsidR="00B97ABF">
        <w:trPr>
          <w:trHeight w:val="193"/>
          <w:jc w:val="center"/>
        </w:trPr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7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>Объем финансового обеспечения по годам реализации, тыс. рублей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ABF" w:rsidRDefault="00737D2A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B97ABF">
        <w:trPr>
          <w:trHeight w:val="300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УГХ;</w:t>
            </w:r>
          </w:p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«ГСЗ»;</w:t>
            </w:r>
          </w:p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УО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43 313,70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38 785,00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29 018,64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30 863,64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141 980,98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43 313,70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38 785,00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28 465,55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t>30 310,55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r>
              <w:rPr>
                <w:b/>
                <w:bCs/>
              </w:rPr>
              <w:t>140 874,80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553,09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t>553,09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0,00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1 106,18</w:t>
            </w:r>
          </w:p>
        </w:tc>
      </w:tr>
      <w:tr w:rsidR="00B97ABF">
        <w:trPr>
          <w:trHeight w:val="193"/>
          <w:jc w:val="center"/>
        </w:trPr>
        <w:tc>
          <w:tcPr>
            <w:tcW w:w="1501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contextualSpacing/>
              <w:jc w:val="center"/>
            </w:pPr>
            <w:r>
              <w:t>проект    «</w:t>
            </w:r>
            <w:r>
              <w:rPr>
                <w:bCs/>
              </w:rPr>
              <w:t>Строительство линий наружного освещения</w:t>
            </w:r>
            <w:r>
              <w:rPr>
                <w:sz w:val="22"/>
                <w:szCs w:val="20"/>
              </w:rPr>
              <w:t>»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sz w:val="23"/>
              </w:rPr>
            </w:pPr>
            <w:r>
              <w:rPr>
                <w:sz w:val="23"/>
              </w:rPr>
              <w:t>12 415,52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b/>
                <w:bCs/>
                <w:sz w:val="23"/>
              </w:rPr>
            </w:pPr>
            <w:r>
              <w:rPr>
                <w:b/>
                <w:bCs/>
                <w:sz w:val="23"/>
              </w:rPr>
              <w:t>12 415,52</w:t>
            </w:r>
          </w:p>
        </w:tc>
      </w:tr>
      <w:tr w:rsidR="00B97ABF">
        <w:trPr>
          <w:trHeight w:val="193"/>
          <w:jc w:val="center"/>
        </w:trPr>
        <w:tc>
          <w:tcPr>
            <w:tcW w:w="12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</w:pPr>
            <w:r>
              <w:t>КПМ  Энергосбережение и повышение энергетической эффективности в Копейском городском округе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B97ABF">
            <w:pPr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jc w:val="center"/>
              <w:rPr>
                <w:b/>
                <w:bCs/>
              </w:rPr>
            </w:pP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30 898,18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38 785,00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28 465,55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30 310,55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128 459,28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553,09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</w:pPr>
            <w:r>
              <w:rPr>
                <w:color w:val="000000" w:themeColor="text1"/>
              </w:rPr>
              <w:t>553,09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1 106,18</w:t>
            </w:r>
          </w:p>
        </w:tc>
      </w:tr>
      <w:tr w:rsidR="00B97ABF">
        <w:trPr>
          <w:trHeight w:val="193"/>
          <w:jc w:val="center"/>
        </w:trPr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Всего 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B97AB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30 898,18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38 785,00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29 018,64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30 863,64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ABF" w:rsidRDefault="00737D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BF" w:rsidRDefault="00737D2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129 565,46</w:t>
            </w:r>
          </w:p>
        </w:tc>
      </w:tr>
    </w:tbl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97ABF" w:rsidRDefault="00B97AB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B97ABF">
      <w:headerReference w:type="default" r:id="rId8"/>
      <w:pgSz w:w="16838" w:h="11906" w:orient="landscape"/>
      <w:pgMar w:top="1418" w:right="850" w:bottom="567" w:left="850" w:header="709" w:footer="0" w:gutter="0"/>
      <w:pgNumType w:start="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ABF" w:rsidRDefault="00737D2A">
      <w:r>
        <w:separator/>
      </w:r>
    </w:p>
  </w:endnote>
  <w:endnote w:type="continuationSeparator" w:id="0">
    <w:p w:rsidR="00B97ABF" w:rsidRDefault="0073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ABF" w:rsidRDefault="00737D2A">
      <w:r>
        <w:separator/>
      </w:r>
    </w:p>
  </w:footnote>
  <w:footnote w:type="continuationSeparator" w:id="0">
    <w:p w:rsidR="00B97ABF" w:rsidRDefault="00737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ABF" w:rsidRDefault="00B97AB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63A18"/>
    <w:multiLevelType w:val="hybridMultilevel"/>
    <w:tmpl w:val="D55600EC"/>
    <w:lvl w:ilvl="0" w:tplc="A3D805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00E2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D4034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AB2BF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A0229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804E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36212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6803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D78EE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461017"/>
    <w:multiLevelType w:val="hybridMultilevel"/>
    <w:tmpl w:val="C8586A16"/>
    <w:lvl w:ilvl="0" w:tplc="63868A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CA4A3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4BAE5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17CB6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0E8CF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7564D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2EE71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6984E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B6267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D40D9A"/>
    <w:multiLevelType w:val="multilevel"/>
    <w:tmpl w:val="FFF4F9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BF"/>
    <w:rsid w:val="00737D2A"/>
    <w:rsid w:val="00B9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CFA19-B40B-442B-8C77-D7174A2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1"/>
    <w:next w:val="a0"/>
    <w:link w:val="20"/>
    <w:qFormat/>
    <w:pPr>
      <w:tabs>
        <w:tab w:val="num" w:pos="0"/>
      </w:tabs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af0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1"/>
    <w:link w:val="af2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1"/>
    <w:link w:val="af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Нижний колонтитул Знак"/>
    <w:basedOn w:val="a1"/>
    <w:link w:val="af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7">
    <w:name w:val="Текст сноски Знак"/>
    <w:basedOn w:val="a1"/>
    <w:link w:val="af8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9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a">
    <w:name w:val="footnote reference"/>
    <w:rPr>
      <w:rFonts w:cs="Times New Roman"/>
      <w:vertAlign w:val="superscript"/>
    </w:rPr>
  </w:style>
  <w:style w:type="character" w:customStyle="1" w:styleId="afb">
    <w:name w:val="Символ концевой сноски"/>
    <w:qFormat/>
    <w:rPr>
      <w:vertAlign w:val="superscript"/>
    </w:rPr>
  </w:style>
  <w:style w:type="character" w:styleId="afc">
    <w:name w:val="endnote reference"/>
    <w:rPr>
      <w:vertAlign w:val="superscript"/>
    </w:rPr>
  </w:style>
  <w:style w:type="paragraph" w:customStyle="1" w:styleId="afd">
    <w:name w:val="Заголовок"/>
    <w:basedOn w:val="a"/>
    <w:next w:val="a0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0">
    <w:name w:val="Body Text"/>
    <w:basedOn w:val="a"/>
    <w:link w:val="af0"/>
    <w:pPr>
      <w:jc w:val="both"/>
    </w:pPr>
    <w:rPr>
      <w:sz w:val="20"/>
      <w:szCs w:val="20"/>
    </w:rPr>
  </w:style>
  <w:style w:type="paragraph" w:styleId="afe">
    <w:name w:val="List"/>
    <w:basedOn w:val="a0"/>
    <w:rPr>
      <w:rFonts w:cs="Lohit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f0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f1">
    <w:name w:val="Колонтитул"/>
    <w:basedOn w:val="a"/>
    <w:qFormat/>
  </w:style>
  <w:style w:type="paragraph" w:styleId="af2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table" w:styleId="aff5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B052-41C4-4939-9C24-A5401272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5840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dcterms:created xsi:type="dcterms:W3CDTF">2026-02-04T08:33:00Z</dcterms:created>
  <dcterms:modified xsi:type="dcterms:W3CDTF">2026-02-04T08:33:00Z</dcterms:modified>
  <dc:language>ru-RU</dc:language>
</cp:coreProperties>
</file>