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49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УТВЕРЖДЕНО</w:t>
      </w:r>
    </w:p>
    <w:p>
      <w:pPr>
        <w:pStyle w:val="Normal"/>
        <w:ind w:left="10490"/>
        <w:rPr/>
      </w:pPr>
      <w:r>
        <w:rPr/>
        <w:t>распоряжением администрации</w:t>
      </w:r>
    </w:p>
    <w:p>
      <w:pPr>
        <w:pStyle w:val="Normal"/>
        <w:ind w:left="10490"/>
        <w:rPr/>
      </w:pPr>
      <w:r>
        <w:rPr/>
        <w:t xml:space="preserve">Копейского городского округа </w:t>
      </w:r>
    </w:p>
    <w:p>
      <w:pPr>
        <w:pStyle w:val="Normal"/>
        <w:ind w:left="10490"/>
        <w:rPr/>
      </w:pPr>
      <w:r>
        <w:rPr/>
        <w:t>от 23.12.2024 № 1059-р</w:t>
      </w:r>
    </w:p>
    <w:p>
      <w:pPr>
        <w:pStyle w:val="Normal"/>
        <w:ind w:left="10490"/>
        <w:rPr/>
      </w:pPr>
      <w:r>
        <w:rPr/>
        <w:t>(в редакции распоряжения</w:t>
      </w:r>
    </w:p>
    <w:p>
      <w:pPr>
        <w:pStyle w:val="Normal"/>
        <w:ind w:left="10490"/>
        <w:rPr/>
      </w:pPr>
      <w:r>
        <w:rPr/>
        <w:t xml:space="preserve">администрации Копейского </w:t>
      </w:r>
    </w:p>
    <w:p>
      <w:pPr>
        <w:pStyle w:val="Normal"/>
        <w:ind w:left="10490"/>
        <w:rPr/>
      </w:pPr>
      <w:r>
        <w:rPr/>
        <w:t>городского округа</w:t>
      </w:r>
    </w:p>
    <w:p>
      <w:pPr>
        <w:pStyle w:val="Normal"/>
        <w:ind w:left="10490"/>
        <w:rPr/>
      </w:pPr>
      <w:r>
        <w:rPr/>
        <w:t xml:space="preserve">от </w:t>
      </w:r>
      <w:r>
        <w:rPr/>
        <w:t>09.06.2026</w:t>
      </w:r>
      <w:r>
        <w:rPr>
          <w:u w:val="single"/>
        </w:rPr>
        <w:t xml:space="preserve"> </w:t>
      </w:r>
      <w:r>
        <w:rPr/>
        <w:t xml:space="preserve">№ </w:t>
      </w:r>
      <w:r>
        <w:rPr/>
        <w:t>549-р</w:t>
      </w:r>
      <w:r>
        <w:rPr/>
        <w:t xml:space="preserve">  </w:t>
      </w:r>
    </w:p>
    <w:p>
      <w:pPr>
        <w:pStyle w:val="Normal"/>
        <w:jc w:val="right"/>
        <w:rPr/>
      </w:pPr>
      <w:r>
        <w:rPr/>
      </w:r>
    </w:p>
    <w:p>
      <w:pPr>
        <w:pStyle w:val="Normal"/>
        <w:tabs>
          <w:tab w:val="clear" w:pos="708"/>
          <w:tab w:val="left" w:pos="6345" w:leader="none"/>
        </w:tabs>
        <w:ind w:left="5670"/>
        <w:jc w:val="right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  <w:t>ПАСПОРТ</w:t>
      </w:r>
    </w:p>
    <w:p>
      <w:pPr>
        <w:pStyle w:val="Normal"/>
        <w:jc w:val="center"/>
        <w:rPr/>
      </w:pPr>
      <w:r>
        <w:rPr/>
        <w:t>муниципальной программы</w:t>
      </w:r>
    </w:p>
    <w:p>
      <w:pPr>
        <w:pStyle w:val="Normal"/>
        <w:shd w:val="clear" w:color="auto" w:fill="FFFFFF"/>
        <w:jc w:val="center"/>
        <w:rPr/>
      </w:pPr>
      <w:r>
        <w:rPr>
          <w:bCs/>
          <w:u w:val="single"/>
        </w:rPr>
        <w:t>«Снос зданий, строений, сооружений на территории Копейского городского округа»</w:t>
      </w:r>
    </w:p>
    <w:p>
      <w:pPr>
        <w:pStyle w:val="Normal"/>
        <w:tabs>
          <w:tab w:val="clear" w:pos="708"/>
          <w:tab w:val="left" w:pos="6697" w:leader="none"/>
        </w:tabs>
        <w:rPr/>
      </w:pPr>
      <w:r>
        <w:rPr/>
      </w:r>
    </w:p>
    <w:p>
      <w:pPr>
        <w:pStyle w:val="ListParagraph"/>
        <w:numPr>
          <w:ilvl w:val="0"/>
          <w:numId w:val="2"/>
        </w:numPr>
        <w:jc w:val="center"/>
        <w:rPr/>
      </w:pPr>
      <w:r>
        <w:rPr/>
        <w:t>Основные положения</w:t>
      </w:r>
    </w:p>
    <w:tbl>
      <w:tblPr>
        <w:tblW w:w="156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301"/>
        <w:gridCol w:w="2884"/>
        <w:gridCol w:w="6463"/>
      </w:tblGrid>
      <w:tr>
        <w:trPr>
          <w:trHeight w:val="371" w:hRule="atLeast"/>
        </w:trPr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Куратор муниципальной программы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Филиппов Александр Сергеевич, заместитель Главы Копейского городского округа по жилищно-коммунальным вопросам</w:t>
            </w:r>
          </w:p>
        </w:tc>
      </w:tr>
      <w:tr>
        <w:trPr>
          <w:trHeight w:val="525" w:hRule="atLeast"/>
        </w:trPr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Ответственный исполнитель муниципальной программы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Администрация Копейского городского округа, управление городского хозяйства     (далее - УГХ)</w:t>
            </w:r>
          </w:p>
        </w:tc>
      </w:tr>
      <w:tr>
        <w:trPr>
          <w:trHeight w:val="229" w:hRule="atLeast"/>
        </w:trPr>
        <w:tc>
          <w:tcPr>
            <w:tcW w:w="6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Участники муниципальной программы</w:t>
            </w:r>
            <w:r>
              <w:rPr>
                <w:vertAlign w:val="superscript"/>
              </w:rPr>
              <w:t>1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1. Муниципальное учреждение «Городская служба заказчика (далее - МУ «ГСЗ»)</w:t>
            </w:r>
          </w:p>
        </w:tc>
      </w:tr>
      <w:tr>
        <w:trPr>
          <w:trHeight w:val="346" w:hRule="atLeast"/>
        </w:trPr>
        <w:tc>
          <w:tcPr>
            <w:tcW w:w="63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jc w:val="both"/>
              <w:rPr/>
            </w:pPr>
            <w:r>
              <w:rPr>
                <w:szCs w:val="28"/>
              </w:rPr>
              <w:t>2. Управление  по имуществу и земельным отношениям администрации Копейского городского округа (далее – УИиЗО)</w:t>
            </w:r>
          </w:p>
        </w:tc>
      </w:tr>
      <w:tr>
        <w:trPr>
          <w:trHeight w:val="646" w:hRule="atLeast"/>
        </w:trPr>
        <w:tc>
          <w:tcPr>
            <w:tcW w:w="63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jc w:val="both"/>
              <w:rPr/>
            </w:pPr>
            <w:r>
              <w:rPr>
                <w:szCs w:val="28"/>
              </w:rPr>
              <w:t xml:space="preserve">3. </w:t>
            </w:r>
            <w:r>
              <w:rPr/>
              <w:t>Управление физической культуры, спорта и туризма администрации Копейского                       городского округа Челябинской области</w:t>
            </w:r>
          </w:p>
        </w:tc>
      </w:tr>
      <w:tr>
        <w:trPr>
          <w:trHeight w:val="215" w:hRule="atLeast"/>
        </w:trPr>
        <w:tc>
          <w:tcPr>
            <w:tcW w:w="6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jc w:val="both"/>
              <w:rPr/>
            </w:pPr>
            <w:r>
              <w:rPr>
                <w:szCs w:val="28"/>
              </w:rPr>
              <w:t>4. МУ «Спортивные сооружения КГО»</w:t>
            </w:r>
          </w:p>
        </w:tc>
      </w:tr>
      <w:tr>
        <w:trPr>
          <w:trHeight w:val="237" w:hRule="atLeast"/>
        </w:trPr>
        <w:tc>
          <w:tcPr>
            <w:tcW w:w="6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Период реализации муниципальной программы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Этап </w:t>
            </w:r>
            <w:r>
              <w:rPr>
                <w:lang w:val="en-US"/>
              </w:rPr>
              <w:t>I</w:t>
            </w:r>
            <w:r>
              <w:rPr/>
              <w:t>: 2023-2024</w:t>
            </w:r>
          </w:p>
        </w:tc>
      </w:tr>
      <w:tr>
        <w:trPr>
          <w:trHeight w:val="228" w:hRule="atLeast"/>
        </w:trPr>
        <w:tc>
          <w:tcPr>
            <w:tcW w:w="63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Этап </w:t>
            </w:r>
            <w:r>
              <w:rPr>
                <w:lang w:val="en-US"/>
              </w:rPr>
              <w:t>II</w:t>
            </w:r>
            <w:r>
              <w:rPr/>
              <w:t>: 2025-2030</w:t>
            </w:r>
          </w:p>
        </w:tc>
      </w:tr>
      <w:tr>
        <w:trPr>
          <w:trHeight w:val="111" w:hRule="atLeast"/>
        </w:trPr>
        <w:tc>
          <w:tcPr>
            <w:tcW w:w="6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Цели/задачи муниципальной программы</w:t>
            </w:r>
          </w:p>
        </w:tc>
        <w:tc>
          <w:tcPr>
            <w:tcW w:w="2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Цель: создание в Копейском городском округе (далее – городской округ) условий для комфортного проживания граждан, ликвидация (снос) аварийных многоквартирных домов, зданий, строений, сооружений на территории городского округа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Задача 1: снос ветхих и аварийных домов</w:t>
            </w:r>
          </w:p>
        </w:tc>
      </w:tr>
      <w:tr>
        <w:trPr>
          <w:trHeight w:val="111" w:hRule="atLeast"/>
        </w:trPr>
        <w:tc>
          <w:tcPr>
            <w:tcW w:w="6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Задача 2: демонтаж капитальных объектов недвижимости, находящихся в муниципальной собственности</w:t>
            </w:r>
          </w:p>
        </w:tc>
      </w:tr>
      <w:tr>
        <w:trPr>
          <w:trHeight w:val="111" w:hRule="atLeast"/>
        </w:trPr>
        <w:tc>
          <w:tcPr>
            <w:tcW w:w="6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Задача 3: демонтаж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</w:tr>
      <w:tr>
        <w:trPr>
          <w:trHeight w:val="461" w:hRule="atLeast"/>
        </w:trPr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Объемы финансового обеспечения за весь период реализации (тыс. руб.)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58079,08</w:t>
            </w:r>
          </w:p>
        </w:tc>
      </w:tr>
      <w:tr>
        <w:trPr>
          <w:trHeight w:val="697" w:hRule="atLeast"/>
        </w:trPr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-</w:t>
            </w:r>
          </w:p>
        </w:tc>
      </w:tr>
    </w:tbl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156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45"/>
        <w:gridCol w:w="3150"/>
        <w:gridCol w:w="1332"/>
        <w:gridCol w:w="892"/>
        <w:gridCol w:w="851"/>
        <w:gridCol w:w="851"/>
        <w:gridCol w:w="851"/>
        <w:gridCol w:w="851"/>
        <w:gridCol w:w="849"/>
        <w:gridCol w:w="820"/>
        <w:gridCol w:w="4578"/>
      </w:tblGrid>
      <w:tr>
        <w:trPr>
          <w:trHeight w:val="305" w:hRule="atLeast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59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</w:tc>
      </w:tr>
      <w:tr>
        <w:trPr>
          <w:trHeight w:val="812" w:hRule="atLeast"/>
        </w:trPr>
        <w:tc>
          <w:tcPr>
            <w:tcW w:w="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4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11</w:t>
            </w:r>
          </w:p>
        </w:tc>
      </w:tr>
      <w:tr>
        <w:trPr>
          <w:trHeight w:val="258" w:hRule="atLeast"/>
        </w:trPr>
        <w:tc>
          <w:tcPr>
            <w:tcW w:w="156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Цель программы: создание в городском округе условий для комфортного проживания граждан, ликвидация (снос) аварийных многоквартирных домов, зданий, строений, сооружений на территории городского округа</w:t>
            </w:r>
          </w:p>
        </w:tc>
      </w:tr>
      <w:tr>
        <w:trPr>
          <w:trHeight w:val="258" w:hRule="atLeast"/>
        </w:trPr>
        <w:tc>
          <w:tcPr>
            <w:tcW w:w="156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Задача 1. снос ветхих и аварийных домов</w:t>
            </w:r>
          </w:p>
        </w:tc>
      </w:tr>
      <w:tr>
        <w:trPr>
          <w:trHeight w:val="258" w:hRule="atLeast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снесенных ветхих и аварийных домов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</w:tr>
      <w:tr>
        <w:trPr>
          <w:trHeight w:val="258" w:hRule="atLeast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подготовленных проектов организаций работ по сносу объектов капитального строительства (ветхих и аварийных домов) на территории городского округа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</w:tr>
      <w:tr>
        <w:trPr>
          <w:trHeight w:val="258" w:hRule="atLeast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информационных табличек, размещенных на аварийных зданиях и жилых домах на территории городского округа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</w:tr>
      <w:tr>
        <w:trPr>
          <w:trHeight w:val="258" w:hRule="atLeast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ветхих и аварийных домов, у которых установлены ограждения и/или ограничения доступа к ним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</w:tr>
      <w:tr>
        <w:trPr>
          <w:trHeight w:val="258" w:hRule="atLeast"/>
        </w:trPr>
        <w:tc>
          <w:tcPr>
            <w:tcW w:w="1567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2. демонтаж капитальных объектов недвижимости, находящихся в муниципальной собственности</w:t>
            </w:r>
          </w:p>
        </w:tc>
      </w:tr>
      <w:tr>
        <w:trPr>
          <w:trHeight w:val="258" w:hRule="atLeast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демонтированных капитальных объектов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«ГСЗ»;</w:t>
            </w:r>
          </w:p>
          <w:p>
            <w:pPr>
              <w:pStyle w:val="Normal"/>
              <w:rPr/>
            </w:pPr>
            <w:r>
              <w:rPr>
                <w:szCs w:val="28"/>
              </w:rPr>
              <w:t>МУ «Спортивные сооружения КГО»;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jc w:val="both"/>
              <w:rPr/>
            </w:pPr>
            <w:r>
              <w:rPr>
                <w:szCs w:val="28"/>
              </w:rPr>
              <w:t>УИиЗО</w:t>
            </w:r>
          </w:p>
        </w:tc>
      </w:tr>
      <w:tr>
        <w:trPr>
          <w:trHeight w:val="258" w:hRule="atLeast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подготовленных проектов организации работ по сносу объектов капитального строительства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«ГСЗ»;</w:t>
            </w:r>
          </w:p>
          <w:p>
            <w:pPr>
              <w:pStyle w:val="Normal"/>
              <w:rPr/>
            </w:pPr>
            <w:r>
              <w:rPr>
                <w:szCs w:val="28"/>
              </w:rPr>
              <w:t>МУ «Спортивные сооружения КГО»;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jc w:val="both"/>
              <w:rPr/>
            </w:pPr>
            <w:r>
              <w:rPr>
                <w:szCs w:val="28"/>
              </w:rPr>
              <w:t>УИиЗО</w:t>
            </w:r>
          </w:p>
        </w:tc>
      </w:tr>
      <w:tr>
        <w:trPr>
          <w:trHeight w:val="258" w:hRule="atLeast"/>
        </w:trPr>
        <w:tc>
          <w:tcPr>
            <w:tcW w:w="156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3.  демонтаж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</w:tr>
      <w:tr>
        <w:trPr>
          <w:trHeight w:val="258" w:hRule="atLeast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</w:t>
            </w:r>
          </w:p>
        </w:tc>
        <w:tc>
          <w:tcPr>
            <w:tcW w:w="3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демонтированных некапитальных объектов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4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</w:tr>
    </w:tbl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>
          <w:sz w:val="24"/>
          <w:szCs w:val="24"/>
        </w:rPr>
        <w:t>3. План достижения показателей муниципальной программы в 2025 году</w:t>
      </w:r>
    </w:p>
    <w:tbl>
      <w:tblPr>
        <w:tblW w:w="15683" w:type="dxa"/>
        <w:jc w:val="left"/>
        <w:tblInd w:w="-509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729"/>
        <w:gridCol w:w="5881"/>
        <w:gridCol w:w="1170"/>
        <w:gridCol w:w="544"/>
        <w:gridCol w:w="450"/>
        <w:gridCol w:w="469"/>
        <w:gridCol w:w="524"/>
        <w:gridCol w:w="527"/>
        <w:gridCol w:w="524"/>
        <w:gridCol w:w="525"/>
        <w:gridCol w:w="544"/>
        <w:gridCol w:w="524"/>
        <w:gridCol w:w="527"/>
        <w:gridCol w:w="524"/>
        <w:gridCol w:w="2221"/>
      </w:tblGrid>
      <w:tr>
        <w:trPr>
          <w:tblHeader w:val="true"/>
          <w:trHeight w:val="300" w:hRule="atLeast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п/п</w:t>
            </w:r>
          </w:p>
        </w:tc>
        <w:tc>
          <w:tcPr>
            <w:tcW w:w="5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Показатели муниципальной программы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6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Плановые значения по</w:t>
            </w:r>
          </w:p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кварталам / месяцам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На конец</w:t>
              <w:br/>
              <w:t>отчетного года</w:t>
            </w:r>
          </w:p>
        </w:tc>
      </w:tr>
      <w:tr>
        <w:trPr>
          <w:tblHeader w:val="true"/>
          <w:trHeight w:val="177" w:hRule="atLeast"/>
        </w:trPr>
        <w:tc>
          <w:tcPr>
            <w:tcW w:w="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  <w:tc>
          <w:tcPr>
            <w:tcW w:w="58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07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09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10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11</w:t>
            </w:r>
          </w:p>
        </w:tc>
        <w:tc>
          <w:tcPr>
            <w:tcW w:w="22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262" w:hRule="atLeast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15</w:t>
            </w:r>
          </w:p>
        </w:tc>
      </w:tr>
      <w:tr>
        <w:trPr>
          <w:trHeight w:val="208" w:hRule="atLeast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49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КПМ: Снос зданий, строений, сооружений на территории городского округа</w:t>
            </w:r>
          </w:p>
        </w:tc>
      </w:tr>
      <w:tr>
        <w:trPr>
          <w:trHeight w:val="208" w:hRule="atLeast"/>
        </w:trPr>
        <w:tc>
          <w:tcPr>
            <w:tcW w:w="1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Задача 1. снос ветхих и аварийных домов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снесенных ветхих и аварийных домов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17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подготовленных проектов организаций работ по сносу объектов капитального строительства (ветхих и аварийных домов на территории городского округа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7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6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6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20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Количество информационных табличек, размещенных на аварийных зданиях и жилых домах на территории городского округа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2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4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3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3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2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14</w:t>
            </w:r>
          </w:p>
        </w:tc>
      </w:tr>
      <w:tr>
        <w:trPr>
          <w:trHeight w:val="69" w:hRule="atLeast"/>
        </w:trPr>
        <w:tc>
          <w:tcPr>
            <w:tcW w:w="15683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Задача 2. демонтаж капитальных объектов недвижимости, находящихся в муниципальной собственности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демонтированных капитальных объектов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2.2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подготовленных проектов организации работ по сносу объектов капитального строительства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0</w:t>
            </w:r>
          </w:p>
        </w:tc>
      </w:tr>
      <w:tr>
        <w:trPr>
          <w:trHeight w:val="69" w:hRule="atLeast"/>
        </w:trPr>
        <w:tc>
          <w:tcPr>
            <w:tcW w:w="15683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Задача 3.  демонтаж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демонтированных некапитальных объектов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>
                <w:b/>
              </w:rPr>
              <w:t>7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</w:r>
    </w:p>
    <w:p>
      <w:pPr>
        <w:pStyle w:val="BodyText"/>
        <w:jc w:val="center"/>
        <w:rPr/>
      </w:pPr>
      <w:r>
        <w:rPr>
          <w:sz w:val="24"/>
          <w:szCs w:val="24"/>
        </w:rPr>
        <w:t>3. План достижения показателей муниципальной программы в 2026 году</w:t>
      </w:r>
    </w:p>
    <w:tbl>
      <w:tblPr>
        <w:tblW w:w="15683" w:type="dxa"/>
        <w:jc w:val="left"/>
        <w:tblInd w:w="-509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729"/>
        <w:gridCol w:w="5881"/>
        <w:gridCol w:w="1170"/>
        <w:gridCol w:w="544"/>
        <w:gridCol w:w="450"/>
        <w:gridCol w:w="469"/>
        <w:gridCol w:w="524"/>
        <w:gridCol w:w="527"/>
        <w:gridCol w:w="524"/>
        <w:gridCol w:w="525"/>
        <w:gridCol w:w="544"/>
        <w:gridCol w:w="524"/>
        <w:gridCol w:w="527"/>
        <w:gridCol w:w="524"/>
        <w:gridCol w:w="2221"/>
      </w:tblGrid>
      <w:tr>
        <w:trPr>
          <w:tblHeader w:val="true"/>
          <w:trHeight w:val="300" w:hRule="atLeast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п/п</w:t>
            </w:r>
          </w:p>
        </w:tc>
        <w:tc>
          <w:tcPr>
            <w:tcW w:w="5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Показатели муниципальной программы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6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Плановые значения по</w:t>
            </w:r>
          </w:p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кварталам / месяцам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На конец</w:t>
              <w:br/>
              <w:t>отчетного года</w:t>
            </w:r>
          </w:p>
        </w:tc>
      </w:tr>
      <w:tr>
        <w:trPr>
          <w:tblHeader w:val="true"/>
          <w:trHeight w:val="177" w:hRule="atLeast"/>
        </w:trPr>
        <w:tc>
          <w:tcPr>
            <w:tcW w:w="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  <w:tc>
          <w:tcPr>
            <w:tcW w:w="58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07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09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10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11</w:t>
            </w:r>
          </w:p>
        </w:tc>
        <w:tc>
          <w:tcPr>
            <w:tcW w:w="22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262" w:hRule="atLeast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>
                <w:sz w:val="16"/>
                <w:szCs w:val="16"/>
              </w:rPr>
              <w:t>15</w:t>
            </w:r>
          </w:p>
        </w:tc>
      </w:tr>
      <w:tr>
        <w:trPr>
          <w:trHeight w:val="208" w:hRule="atLeast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49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КПМ: Снос зданий, строений, сооружений на территории городского округа</w:t>
            </w:r>
          </w:p>
        </w:tc>
      </w:tr>
      <w:tr>
        <w:trPr>
          <w:trHeight w:val="208" w:hRule="atLeast"/>
        </w:trPr>
        <w:tc>
          <w:tcPr>
            <w:tcW w:w="1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Задача 1. снос ветхих и аварийных домов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снесенных ветхих и аварийных домов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7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подготовленных проектов организаций работ по сносу объектов капитального строительства (ветхих и аварийных домов на территории городского округа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10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10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11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31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информационных табличек, размещенных на аварийных зданиях и жилых домах на территории городского округа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20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30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30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10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10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/>
            </w:pPr>
            <w:r>
              <w:rPr/>
              <w:t>100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ветхих и аварийных домов, у которых установлены ограждения и/или ограничения доступа к ним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0</w:t>
            </w:r>
          </w:p>
        </w:tc>
      </w:tr>
      <w:tr>
        <w:trPr>
          <w:trHeight w:val="69" w:hRule="atLeast"/>
        </w:trPr>
        <w:tc>
          <w:tcPr>
            <w:tcW w:w="15683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Задача 2. демонтаж капитальных объектов недвижимости, находящихся в муниципальной собственности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демонтированных капитальных объектов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2.2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подготовленных проектов организации работ по сносу объектов капитального строительства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</w:t>
            </w:r>
          </w:p>
        </w:tc>
      </w:tr>
      <w:tr>
        <w:trPr>
          <w:trHeight w:val="69" w:hRule="atLeast"/>
        </w:trPr>
        <w:tc>
          <w:tcPr>
            <w:tcW w:w="15683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Задача 3.  демонтаж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</w:tr>
      <w:tr>
        <w:trPr>
          <w:trHeight w:val="69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</w:t>
            </w:r>
          </w:p>
        </w:tc>
        <w:tc>
          <w:tcPr>
            <w:tcW w:w="5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демонтированных некапитальных объектов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(ед.)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20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20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10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-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50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  <w:t>4. Структура муниципальной программы</w:t>
      </w:r>
    </w:p>
    <w:tbl>
      <w:tblPr>
        <w:tblW w:w="157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7"/>
        <w:gridCol w:w="7188"/>
        <w:gridCol w:w="3861"/>
        <w:gridCol w:w="3828"/>
      </w:tblGrid>
      <w:tr>
        <w:trPr>
          <w:trHeight w:val="491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Задачи структурного элемента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Связь</w:t>
            </w:r>
          </w:p>
          <w:p>
            <w:pPr>
              <w:pStyle w:val="Normal"/>
              <w:jc w:val="center"/>
              <w:rPr/>
            </w:pPr>
            <w:r>
              <w:rPr/>
              <w:t>с показателями</w:t>
            </w:r>
          </w:p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>
          <w:trHeight w:val="271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>
          <w:trHeight w:val="271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4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КПМ:Снос зданий, строений, сооружений на территории городского округа</w:t>
            </w:r>
          </w:p>
        </w:tc>
      </w:tr>
      <w:tr>
        <w:trPr>
          <w:trHeight w:val="295" w:hRule="atLeast"/>
        </w:trPr>
        <w:tc>
          <w:tcPr>
            <w:tcW w:w="8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за реализацию – УГХ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Срок реализации (2025-2030)</w:t>
            </w:r>
          </w:p>
        </w:tc>
      </w:tr>
      <w:tr>
        <w:trPr>
          <w:trHeight w:val="171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Задача 1. снос ветхих и аварийных домов</w:t>
            </w:r>
          </w:p>
        </w:tc>
        <w:tc>
          <w:tcPr>
            <w:tcW w:w="3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создание в  городском округе условий для комфортного проживания граждан, ликвидация (снос) аварийных многоквартирных домов, зданий, строений, сооружений на территории городского округа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1.1, 1.2, 1.3, 1.4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1.2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Задача 2. демонтаж капитальных объектов недвижимости, находящихся в муниципальной собственности</w:t>
            </w:r>
          </w:p>
        </w:tc>
        <w:tc>
          <w:tcPr>
            <w:tcW w:w="3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2.1, 2.2</w:t>
            </w:r>
          </w:p>
        </w:tc>
      </w:tr>
      <w:tr>
        <w:trPr>
          <w:trHeight w:val="171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1.3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Задача 3.  демонтаж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  <w:tc>
          <w:tcPr>
            <w:tcW w:w="3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3.1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  <w:t>5. Финансовое обеспечение муниципальной программы</w:t>
      </w:r>
    </w:p>
    <w:tbl>
      <w:tblPr>
        <w:tblW w:w="1575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417"/>
        <w:gridCol w:w="2213"/>
        <w:gridCol w:w="1186"/>
        <w:gridCol w:w="1139"/>
        <w:gridCol w:w="1126"/>
        <w:gridCol w:w="1140"/>
        <w:gridCol w:w="1186"/>
        <w:gridCol w:w="1205"/>
        <w:gridCol w:w="2136"/>
      </w:tblGrid>
      <w:tr>
        <w:trPr>
          <w:trHeight w:val="303" w:hRule="atLeast"/>
        </w:trPr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Ответственный исполнитель / соисполнитель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</w:r>
          </w:p>
        </w:tc>
        <w:tc>
          <w:tcPr>
            <w:tcW w:w="22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2025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2026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2027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2028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2029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2030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Всего</w:t>
            </w:r>
          </w:p>
        </w:tc>
      </w:tr>
      <w:tr>
        <w:trPr>
          <w:trHeight w:val="193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</w:t>
            </w:r>
          </w:p>
        </w:tc>
      </w:tr>
      <w:tr>
        <w:trPr>
          <w:trHeight w:val="193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Всего, в т.ч.: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УГХ/</w:t>
            </w:r>
            <w:r>
              <w:rPr>
                <w:szCs w:val="28"/>
              </w:rPr>
              <w:t xml:space="preserve"> УИиЗО, </w:t>
            </w:r>
            <w:r>
              <w:rPr/>
              <w:t xml:space="preserve">МУ «ГСЗ», Управление физической культуры, спорта и туризма администрации Копейского го- родского округа Челябинской области, </w:t>
            </w:r>
            <w:r>
              <w:rPr>
                <w:szCs w:val="28"/>
              </w:rPr>
              <w:t>МУ «Спортивные сооружения КГО»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4557,57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14321,51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19600,00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19600,00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58079,08</w:t>
            </w:r>
          </w:p>
        </w:tc>
      </w:tr>
      <w:tr>
        <w:trPr>
          <w:trHeight w:val="193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Местный бюджет</w:t>
            </w:r>
          </w:p>
        </w:tc>
        <w:tc>
          <w:tcPr>
            <w:tcW w:w="22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4557,57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14321,51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19600,00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19600,00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=C5+D5+E5+F5</w:instrText>
            </w:r>
            <w:r>
              <w:rPr/>
              <w:fldChar w:fldCharType="separate"/>
            </w:r>
            <w:r>
              <w:rPr/>
              <w:t>58079,08</w:t>
            </w:r>
            <w:r>
              <w:rPr/>
              <w:fldChar w:fldCharType="end"/>
            </w:r>
          </w:p>
        </w:tc>
      </w:tr>
      <w:tr>
        <w:trPr>
          <w:trHeight w:val="193" w:hRule="atLeast"/>
        </w:trPr>
        <w:tc>
          <w:tcPr>
            <w:tcW w:w="15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КПМ:Снос зданий, строений, сооружений на территории городского округа</w:t>
            </w:r>
          </w:p>
        </w:tc>
      </w:tr>
      <w:tr>
        <w:trPr>
          <w:trHeight w:val="60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Местный бюджет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4557,57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14321,51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19600,00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19600,00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58079,08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09" w:top="1276" w:footer="0" w:bottom="567"/>
      <w:pgNumType w:start="23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Cambria" w:cs="Cambria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Style19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Cambria" w:cs="Cambria"/>
      <w:b/>
      <w:bCs/>
      <w:color w:themeColor="accent1" w:themeShade="bf" w:val="365F91"/>
      <w:sz w:val="28"/>
      <w:szCs w:val="28"/>
      <w:lang w:eastAsia="ru-RU"/>
    </w:rPr>
  </w:style>
  <w:style w:type="character" w:styleId="Style16" w:customStyle="1">
    <w:name w:val="Текст сноски Знак"/>
    <w:basedOn w:val="DefaultParagraphFont"/>
    <w:uiPriority w:val="99"/>
    <w:qFormat/>
    <w:rPr>
      <w:rFonts w:eastAsia="Calibri" w:cs="Times New Roman"/>
      <w:sz w:val="20"/>
      <w:szCs w:val="20"/>
      <w:lang w:eastAsia="ru-RU"/>
    </w:rPr>
  </w:style>
  <w:style w:type="character" w:styleId="Style17" w:customStyle="1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2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/>
    <w:rPr>
      <w:rFonts w:cs="Lohit Devanagari"/>
    </w:rPr>
  </w:style>
  <w:style w:type="paragraph" w:styleId="caption1" w:customStyle="1">
    <w:name w:val="caption1"/>
    <w:basedOn w:val="Normal"/>
    <w:qFormat/>
    <w:pPr>
      <w:spacing w:before="120" w:after="120"/>
    </w:pPr>
    <w:rPr>
      <w:rFonts w:cs="Lohit Devanagari"/>
      <w:i/>
      <w:iCs/>
    </w:rPr>
  </w:style>
  <w:style w:type="paragraph" w:styleId="caption11" w:customStyle="1">
    <w:name w:val="caption11"/>
    <w:basedOn w:val="Normal"/>
    <w:qFormat/>
    <w:pPr>
      <w:spacing w:before="120" w:after="120"/>
    </w:pPr>
    <w:rPr>
      <w:rFonts w:cs="Lohit Devanagari"/>
      <w:i/>
      <w:iCs/>
    </w:rPr>
  </w:style>
  <w:style w:type="paragraph" w:styleId="Style21" w:customStyle="1">
    <w:name w:val="Колонтитул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6"/>
    <w:uiPriority w:val="99"/>
    <w:unhideWhenUsed/>
    <w:pPr>
      <w:spacing w:lineRule="auto" w:line="259" w:before="0" w:after="160"/>
    </w:pPr>
    <w:rPr>
      <w:rFonts w:ascii="Calibri" w:hAnsi="Calibri" w:eastAsia="Calibri"/>
      <w:sz w:val="20"/>
      <w:szCs w:val="20"/>
    </w:rPr>
  </w:style>
  <w:style w:type="paragraph" w:styleId="Style22" w:customStyle="1">
    <w:name w:val="Содержимое таблицы"/>
    <w:basedOn w:val="Normal"/>
    <w:qFormat/>
    <w:pPr>
      <w:widowControl w:val="false"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caption2" w:customStyle="1">
    <w:name w:val="caption2"/>
    <w:basedOn w:val="Normal"/>
    <w:qFormat/>
    <w:pPr>
      <w:spacing w:before="120" w:after="120"/>
    </w:pPr>
    <w:rPr>
      <w:rFonts w:cs="Lohit Devanagari"/>
      <w:i/>
      <w:iCs/>
    </w:rPr>
  </w:style>
  <w:style w:type="numbering" w:styleId="Style24" w:customStyle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6</Pages>
  <Words>1249</Words>
  <Characters>7331</Characters>
  <CharactersWithSpaces>8138</CharactersWithSpaces>
  <Paragraphs>481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2026-06-09T10:13:00Z</dcterms:created>
  <dc:creator>n.babyrina</dc:creator>
  <dc:description/>
  <dc:language>ru-RU</dc:language>
  <cp:lastModifiedBy/>
  <cp:lastPrinted>2026-05-27T15:46:00Z</cp:lastPrinted>
  <dcterms:modified xsi:type="dcterms:W3CDTF">2026-06-09T15:15:49Z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