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ind w:left="9694"/>
        <w:contextualSpacing/>
        <w:jc w:val="center"/>
        <w:rPr>
          <w:sz w:val="28"/>
          <w:szCs w:val="28"/>
        </w:rPr>
      </w:pPr>
      <w:r>
        <w:rPr/>
        <w:t>УТВЕРЖДЕН</w:t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ind w:left="9694"/>
        <w:contextualSpacing/>
        <w:jc w:val="center"/>
        <w:rPr/>
      </w:pPr>
      <w:r>
        <w:rPr/>
        <w:t>распоряжением  администрации Копейского  городского округа от10.12.2024 №1012-р</w:t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ind w:left="9694"/>
        <w:contextualSpacing/>
        <w:jc w:val="center"/>
        <w:rPr/>
      </w:pPr>
      <w:r>
        <w:rPr/>
        <w:t>(в редакции распоряжения администрации Копейского городского округа</w:t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ind w:left="9694"/>
        <w:contextualSpacing/>
        <w:jc w:val="center"/>
        <w:rPr/>
      </w:pPr>
      <w:r>
        <w:rPr/>
        <w:t>от</w:t>
      </w:r>
      <w:r>
        <w:rPr>
          <w:u w:val="single"/>
        </w:rPr>
        <w:t xml:space="preserve"> </w:t>
      </w:r>
      <w:r>
        <w:rPr>
          <w:u w:val="single"/>
        </w:rPr>
        <w:t xml:space="preserve">19.02.2026 </w:t>
      </w:r>
      <w:r>
        <w:rPr>
          <w:u w:val="single"/>
        </w:rPr>
        <w:t xml:space="preserve">№ </w:t>
      </w:r>
      <w:r>
        <w:rPr>
          <w:u w:val="single"/>
        </w:rPr>
        <w:t>139-р</w:t>
      </w:r>
      <w:r>
        <w:rPr/>
        <w:t>)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ПАСПОРТ</w:t>
      </w:r>
    </w:p>
    <w:p>
      <w:pPr>
        <w:pStyle w:val="Normal"/>
        <w:jc w:val="center"/>
        <w:rPr/>
      </w:pPr>
      <w:r>
        <w:rPr/>
        <w:t>муниципальной программы</w:t>
      </w:r>
    </w:p>
    <w:p>
      <w:pPr>
        <w:pStyle w:val="Normal"/>
        <w:jc w:val="center"/>
        <w:rPr/>
      </w:pPr>
      <w:r>
        <w:rPr/>
        <w:t xml:space="preserve">«Обеспечение безопасности жизнедеятельности населения </w:t>
        <w:br/>
        <w:t>на территории Копейского городского округа»</w:t>
      </w:r>
    </w:p>
    <w:p>
      <w:pPr>
        <w:pStyle w:val="Normal"/>
        <w:tabs>
          <w:tab w:val="clear" w:pos="708"/>
          <w:tab w:val="left" w:pos="6697" w:leader="none"/>
        </w:tabs>
        <w:rPr/>
      </w:pPr>
      <w:r>
        <w:rPr/>
        <w:tab/>
        <w:t>(наименование)</w:t>
      </w:r>
    </w:p>
    <w:p>
      <w:pPr>
        <w:pStyle w:val="Normal"/>
        <w:rPr/>
      </w:pPr>
      <w:r>
        <w:rPr/>
        <w:t xml:space="preserve">                                                                                                  </w:t>
      </w:r>
      <w:r>
        <w:rPr/>
        <w:t>1. Основные положения</w:t>
      </w:r>
    </w:p>
    <w:tbl>
      <w:tblPr>
        <w:tblW w:w="5000" w:type="pct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4942"/>
        <w:gridCol w:w="11"/>
        <w:gridCol w:w="2977"/>
        <w:gridCol w:w="6498"/>
      </w:tblGrid>
      <w:tr>
        <w:trPr>
          <w:trHeight w:val="371" w:hRule="atLeast"/>
        </w:trPr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Куратор муниципальной программы</w:t>
            </w:r>
          </w:p>
        </w:tc>
        <w:tc>
          <w:tcPr>
            <w:tcW w:w="9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  <w:t>Заместитель Главы городского округа по жилищно-коммунальным вопросам</w:t>
            </w:r>
          </w:p>
          <w:p>
            <w:pPr>
              <w:pStyle w:val="Normal"/>
              <w:jc w:val="both"/>
              <w:rPr/>
            </w:pPr>
            <w:r>
              <w:rPr/>
              <w:t>Филиппов А.С.</w:t>
            </w:r>
          </w:p>
        </w:tc>
      </w:tr>
      <w:tr>
        <w:trPr>
          <w:trHeight w:val="525" w:hRule="atLeast"/>
        </w:trPr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ind w:left="-67"/>
              <w:rPr/>
            </w:pPr>
            <w:r>
              <w:rPr/>
              <w:t>Ответственный исполнитель муниципальной программы</w:t>
            </w:r>
          </w:p>
        </w:tc>
        <w:tc>
          <w:tcPr>
            <w:tcW w:w="9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  <w:t>МУ «Управление гражданской защиты населения»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403" w:hRule="atLeast"/>
        </w:trPr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Соисполнители муниципальной программы</w:t>
            </w:r>
          </w:p>
        </w:tc>
        <w:tc>
          <w:tcPr>
            <w:tcW w:w="948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49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Участники муниципальной программы</w:t>
            </w:r>
          </w:p>
        </w:tc>
        <w:tc>
          <w:tcPr>
            <w:tcW w:w="948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  <w:t>отсутствуют</w:t>
            </w:r>
          </w:p>
        </w:tc>
      </w:tr>
      <w:tr>
        <w:trPr>
          <w:trHeight w:val="408" w:hRule="atLeast"/>
        </w:trPr>
        <w:tc>
          <w:tcPr>
            <w:tcW w:w="4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Период реализации муниципальной программы</w:t>
            </w:r>
          </w:p>
        </w:tc>
        <w:tc>
          <w:tcPr>
            <w:tcW w:w="94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  <w:t>2025-2030 годы</w:t>
            </w:r>
          </w:p>
        </w:tc>
      </w:tr>
      <w:tr>
        <w:trPr>
          <w:trHeight w:val="282" w:hRule="atLeast"/>
        </w:trPr>
        <w:tc>
          <w:tcPr>
            <w:tcW w:w="4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Цели/задачи муниципальной программы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  <w:t>Цель: обеспечение безопасности жизнедеятельности населения округа при угрозе и возникновении чрезвычайных ситуаций природного и</w:t>
            </w:r>
          </w:p>
          <w:p>
            <w:pPr>
              <w:pStyle w:val="Normal"/>
              <w:rPr/>
            </w:pPr>
            <w:r>
              <w:rPr/>
              <w:t>техногенного характера, пожарной безопасности, а также безопасности людей на водных объектах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  <w:t>Задача 1. Обеспечение усиления мер пожарной безопасности в границах округа</w:t>
            </w:r>
          </w:p>
        </w:tc>
      </w:tr>
      <w:tr>
        <w:trPr>
          <w:trHeight w:val="225" w:hRule="atLeast"/>
        </w:trPr>
        <w:tc>
          <w:tcPr>
            <w:tcW w:w="495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  <w:t>Задача 2. Обустройство мест массового отдыха населения</w:t>
            </w:r>
          </w:p>
        </w:tc>
      </w:tr>
      <w:tr>
        <w:trPr>
          <w:trHeight w:val="475" w:hRule="atLeast"/>
        </w:trPr>
        <w:tc>
          <w:tcPr>
            <w:tcW w:w="495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  <w:t>Задача 3. Оповещение населения об угрозе возникновения и возникновении чрезвычайных ситуаций</w:t>
            </w:r>
          </w:p>
        </w:tc>
      </w:tr>
      <w:tr>
        <w:trPr>
          <w:trHeight w:val="513" w:hRule="atLeast"/>
        </w:trPr>
        <w:tc>
          <w:tcPr>
            <w:tcW w:w="495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  <w:t>Задача 4. Оказание своевременной помощи по ликвидации последствий чрезвычайных ситуаций</w:t>
            </w:r>
          </w:p>
        </w:tc>
      </w:tr>
      <w:tr>
        <w:trPr>
          <w:trHeight w:val="578" w:hRule="atLeast"/>
        </w:trPr>
        <w:tc>
          <w:tcPr>
            <w:tcW w:w="495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  <w:t>Задача 5. Техническое оснащение и совершенствование единой дежурной диспетчерской службы</w:t>
            </w:r>
          </w:p>
        </w:tc>
      </w:tr>
      <w:tr>
        <w:trPr>
          <w:trHeight w:val="254" w:hRule="atLeast"/>
        </w:trPr>
        <w:tc>
          <w:tcPr>
            <w:tcW w:w="495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  <w:t>Подпрограммы (при наличии)</w:t>
            </w:r>
          </w:p>
        </w:tc>
        <w:tc>
          <w:tcPr>
            <w:tcW w:w="9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  <w:t>отсутствуют</w:t>
            </w:r>
          </w:p>
        </w:tc>
      </w:tr>
      <w:tr>
        <w:trPr>
          <w:trHeight w:val="461" w:hRule="atLeast"/>
        </w:trPr>
        <w:tc>
          <w:tcPr>
            <w:tcW w:w="4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  <w:t>Объемы финансового обеспечения за весь период реализации (тыс. руб.)</w:t>
            </w:r>
          </w:p>
        </w:tc>
        <w:tc>
          <w:tcPr>
            <w:tcW w:w="9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  <w:t>65716,64</w:t>
            </w:r>
            <w:bookmarkStart w:id="0" w:name="_GoBack"/>
            <w:bookmarkEnd w:id="0"/>
            <w:r>
              <w:rPr/>
              <w:t xml:space="preserve"> тыс. рублей</w:t>
            </w:r>
          </w:p>
        </w:tc>
      </w:tr>
      <w:tr>
        <w:trPr>
          <w:trHeight w:val="697" w:hRule="atLeast"/>
        </w:trPr>
        <w:tc>
          <w:tcPr>
            <w:tcW w:w="4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/>
              <w:t>Связь с национальными целями развития Российской Федерации/ государственной программой</w:t>
            </w:r>
          </w:p>
        </w:tc>
        <w:tc>
          <w:tcPr>
            <w:tcW w:w="9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  <w:t>-</w:t>
            </w:r>
          </w:p>
        </w:tc>
      </w:tr>
    </w:tbl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</w:t>
      </w:r>
    </w:p>
    <w:p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  <w:r>
        <w:rPr>
          <w:sz w:val="24"/>
          <w:szCs w:val="24"/>
        </w:rPr>
        <w:t>2. Показатели муниципальной программы</w:t>
      </w:r>
    </w:p>
    <w:tbl>
      <w:tblPr>
        <w:tblW w:w="14564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18"/>
        <w:gridCol w:w="3444"/>
        <w:gridCol w:w="1410"/>
        <w:gridCol w:w="2058"/>
        <w:gridCol w:w="839"/>
        <w:gridCol w:w="853"/>
        <w:gridCol w:w="858"/>
        <w:gridCol w:w="900"/>
        <w:gridCol w:w="833"/>
        <w:gridCol w:w="983"/>
        <w:gridCol w:w="1866"/>
      </w:tblGrid>
      <w:tr>
        <w:trPr>
          <w:tblHeader w:val="true"/>
          <w:trHeight w:val="305" w:hRule="atLeast"/>
        </w:trPr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3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Базовое значение </w:t>
            </w:r>
            <w:r>
              <w:rPr>
                <w:rFonts w:eastAsia="Calibri" w:eastAsiaTheme="minorHAnsi"/>
                <w:sz w:val="24"/>
                <w:szCs w:val="24"/>
                <w:lang w:eastAsia="en-US"/>
              </w:rPr>
              <w:t>за год</w:t>
            </w:r>
          </w:p>
        </w:tc>
        <w:tc>
          <w:tcPr>
            <w:tcW w:w="52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достижение показателя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blHeader w:val="true"/>
          <w:trHeight w:val="1045" w:hRule="atLeast"/>
        </w:trPr>
        <w:tc>
          <w:tcPr>
            <w:tcW w:w="5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8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blHeader w:val="true"/>
          <w:trHeight w:val="258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>
        <w:trPr>
          <w:trHeight w:val="258" w:hRule="atLeast"/>
        </w:trPr>
        <w:tc>
          <w:tcPr>
            <w:tcW w:w="145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обеспечение безопасности жизнедеятельности населения округа при угрозе и возникновении чрезвычайных ситуаций природного и техногенного характера, пожарной безопасности, а также безопасности людей на водных объектах</w:t>
            </w:r>
          </w:p>
        </w:tc>
      </w:tr>
      <w:tr>
        <w:trPr>
          <w:trHeight w:val="258" w:hRule="atLeast"/>
        </w:trPr>
        <w:tc>
          <w:tcPr>
            <w:tcW w:w="145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1. Обеспечение усиления мер пожарной безопасности в границах округа</w:t>
            </w:r>
          </w:p>
        </w:tc>
      </w:tr>
      <w:tr>
        <w:trPr>
          <w:trHeight w:val="258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1.1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right="113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Количество приобретенных ранцев противопожарных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ед.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 «Управление гражданской защиты населения»</w:t>
            </w:r>
          </w:p>
        </w:tc>
      </w:tr>
      <w:tr>
        <w:trPr>
          <w:trHeight w:val="258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1.2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right="113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Снижение количества пожаров (на % от уровня предыдущего года)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bCs/>
                <w:color w:val="000000"/>
                <w:u w:val="none" w:color="000000"/>
              </w:rPr>
            </w:pPr>
            <w:r>
              <w:rPr/>
              <w:t>%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 «Управление гражданской защиты населения»</w:t>
            </w:r>
          </w:p>
        </w:tc>
      </w:tr>
      <w:tr>
        <w:trPr>
          <w:trHeight w:val="258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1.3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right="113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Протяженность опаханной территории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км.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150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150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150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150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150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150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150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 «Управление гражданской защиты населения»</w:t>
            </w:r>
          </w:p>
        </w:tc>
      </w:tr>
      <w:tr>
        <w:trPr>
          <w:trHeight w:val="258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1.4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right="113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 xml:space="preserve">Количество изготовленных и </w:t>
            </w:r>
            <w:r>
              <w:rPr>
                <w:rFonts w:eastAsia="Calibri"/>
                <w:spacing w:val="-6"/>
              </w:rPr>
              <w:t>установленных</w:t>
            </w:r>
            <w:r>
              <w:rPr>
                <w:bCs/>
                <w:color w:val="000000"/>
                <w:u w:val="none" w:color="000000"/>
              </w:rPr>
              <w:t xml:space="preserve"> предупредительных знаков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ед.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16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 «Управление гражданской защиты населения»</w:t>
            </w:r>
          </w:p>
        </w:tc>
      </w:tr>
      <w:tr>
        <w:trPr>
          <w:trHeight w:val="258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1.5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right="113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Количество изданной и реализованной печатной продукции (буклетов, памяток, брошюр)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экз.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2000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2000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 «Управление гражданской защиты населения»</w:t>
            </w:r>
          </w:p>
        </w:tc>
      </w:tr>
      <w:tr>
        <w:trPr>
          <w:trHeight w:val="258" w:hRule="atLeast"/>
        </w:trPr>
        <w:tc>
          <w:tcPr>
            <w:tcW w:w="145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2. Обустройство мест массового отдыха населения</w:t>
            </w:r>
          </w:p>
        </w:tc>
      </w:tr>
      <w:tr>
        <w:trPr>
          <w:trHeight w:val="258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2.1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86"/>
              <w:jc w:val="both"/>
              <w:rPr/>
            </w:pPr>
            <w:r>
              <w:rPr/>
              <w:t>Количество введенных на содержание муниципальных пляжей оз. Шелюгино, п. Потанино; карьер «Песочный»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ед.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/>
              <w:t>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/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/>
              <w:t>2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/>
              <w:t>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/>
              <w:t>2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 «Управление гражданской защиты населения»</w:t>
            </w:r>
          </w:p>
        </w:tc>
      </w:tr>
      <w:tr>
        <w:trPr>
          <w:trHeight w:val="258" w:hRule="atLeast"/>
        </w:trPr>
        <w:tc>
          <w:tcPr>
            <w:tcW w:w="145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3. Оповещение населения об угрозе возникновения и возникновении чрезвычайных ситуаций</w:t>
            </w:r>
          </w:p>
        </w:tc>
      </w:tr>
      <w:tr>
        <w:trPr>
          <w:trHeight w:val="258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3.1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приобретенных и установленных пунктов речевого оповещения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ед.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 «Управление гражданской защиты населения»</w:t>
            </w:r>
          </w:p>
        </w:tc>
      </w:tr>
      <w:tr>
        <w:trPr>
          <w:trHeight w:val="258" w:hRule="atLeast"/>
        </w:trPr>
        <w:tc>
          <w:tcPr>
            <w:tcW w:w="145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4. Оказание своевременной помощи по ликвидации последствий чрезвычайных ситуаций.</w:t>
            </w:r>
          </w:p>
        </w:tc>
      </w:tr>
      <w:tr>
        <w:trPr>
          <w:trHeight w:val="258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4.1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приобретенного имущества и ресурсов жизнеобеспечения (создание запасов материально-технических средств в случае возникновения чрезвычайных ситуаций)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ед.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50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541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200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200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200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200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 «Управление гражданской защиты населения»</w:t>
            </w:r>
          </w:p>
        </w:tc>
      </w:tr>
      <w:tr>
        <w:trPr>
          <w:trHeight w:val="1114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4.2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bCs/>
                <w:color w:val="000000"/>
                <w:sz w:val="24"/>
                <w:szCs w:val="24"/>
                <w:u w:val="none" w:color="000000"/>
              </w:rPr>
            </w:pPr>
            <w:r>
              <w:rPr>
                <w:sz w:val="24"/>
                <w:szCs w:val="24"/>
              </w:rPr>
              <w:t>Количество оборудованных защитных сооружений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ед.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«Управление гражданской защиты населения»</w:t>
            </w:r>
          </w:p>
        </w:tc>
      </w:tr>
      <w:tr>
        <w:trPr>
          <w:trHeight w:val="1414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4.3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поставленных насосных станций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ед.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«Управление гражданской защиты населения»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390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4.4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u w:val="none" w:color="000000"/>
              </w:rPr>
              <w:t>Количество разработанных</w:t>
            </w:r>
            <w:r>
              <w:rPr>
                <w:sz w:val="24"/>
                <w:szCs w:val="24"/>
              </w:rPr>
              <w:t xml:space="preserve"> проектно-сметных документаций на текущий ремонт в защитных сооружениях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ед.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«Управление гражданской защиты населения»</w:t>
            </w:r>
          </w:p>
        </w:tc>
      </w:tr>
      <w:tr>
        <w:trPr>
          <w:trHeight w:val="258" w:hRule="atLeast"/>
        </w:trPr>
        <w:tc>
          <w:tcPr>
            <w:tcW w:w="145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5. Техническое оснащение и совершенствование единой дежурной диспетчерской службы</w:t>
            </w:r>
          </w:p>
        </w:tc>
      </w:tr>
      <w:tr>
        <w:trPr>
          <w:trHeight w:val="258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5.1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приобретенной организационной техники для оборудования единой дежурной диспетчерской службы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ед.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«Управление гражданской защиты населения»</w:t>
            </w:r>
          </w:p>
        </w:tc>
      </w:tr>
      <w:tr>
        <w:trPr>
          <w:trHeight w:val="258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5.2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монтируемых систем АПС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ед.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«Управление гражданской защиты населения»</w:t>
            </w:r>
          </w:p>
        </w:tc>
      </w:tr>
      <w:tr>
        <w:trPr>
          <w:trHeight w:val="258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5.3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обслуживаемых пунктов речевого оповещения по системе КСЭОН и обеспечение средствами связи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ед.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6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6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6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«Управление гражданской защиты населения»</w:t>
            </w:r>
          </w:p>
        </w:tc>
      </w:tr>
      <w:tr>
        <w:trPr>
          <w:trHeight w:val="258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5.4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обслуживаемых каналов связи постов видеонаблюдения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ед.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«Управление гражданской защиты населения»</w:t>
            </w:r>
          </w:p>
        </w:tc>
      </w:tr>
    </w:tbl>
    <w:p>
      <w:pPr>
        <w:pStyle w:val="BodyText"/>
        <w:ind w:left="72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72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7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3. План достижения показателей муниципальной программы </w:t>
      </w:r>
    </w:p>
    <w:tbl>
      <w:tblPr>
        <w:tblStyle w:val="af8"/>
        <w:tblW w:w="1526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58"/>
        <w:gridCol w:w="5998"/>
        <w:gridCol w:w="1113"/>
        <w:gridCol w:w="570"/>
        <w:gridCol w:w="560"/>
        <w:gridCol w:w="577"/>
        <w:gridCol w:w="561"/>
        <w:gridCol w:w="560"/>
        <w:gridCol w:w="577"/>
        <w:gridCol w:w="561"/>
        <w:gridCol w:w="264"/>
        <w:gridCol w:w="296"/>
        <w:gridCol w:w="577"/>
        <w:gridCol w:w="403"/>
        <w:gridCol w:w="156"/>
        <w:gridCol w:w="562"/>
        <w:gridCol w:w="131"/>
        <w:gridCol w:w="845"/>
      </w:tblGrid>
      <w:tr>
        <w:trPr/>
        <w:tc>
          <w:tcPr>
            <w:tcW w:w="958" w:type="dxa"/>
            <w:vMerge w:val="restart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5998" w:type="dxa"/>
            <w:vMerge w:val="restart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lang w:val="ru-RU" w:bidi="ar-SA"/>
              </w:rPr>
              <w:t>Показатели муниципальной программы</w:t>
            </w:r>
          </w:p>
        </w:tc>
        <w:tc>
          <w:tcPr>
            <w:tcW w:w="1113" w:type="dxa"/>
            <w:vMerge w:val="restart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lang w:val="ru-RU" w:bidi="ar-SA"/>
              </w:rPr>
              <w:t>Единица измерения (по ОКАТО)</w:t>
            </w:r>
          </w:p>
        </w:tc>
        <w:tc>
          <w:tcPr>
            <w:tcW w:w="6224" w:type="dxa"/>
            <w:gridSpan w:val="13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lang w:val="ru-RU" w:bidi="ar-SA"/>
              </w:rPr>
              <w:t>Плановые значения по месяцам</w:t>
            </w:r>
          </w:p>
        </w:tc>
        <w:tc>
          <w:tcPr>
            <w:tcW w:w="976" w:type="dxa"/>
            <w:gridSpan w:val="2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На конец</w:t>
            </w:r>
          </w:p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отч. период.</w:t>
            </w:r>
          </w:p>
        </w:tc>
      </w:tr>
      <w:tr>
        <w:trPr/>
        <w:tc>
          <w:tcPr>
            <w:tcW w:w="958" w:type="dxa"/>
            <w:vMerge w:val="continue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998" w:type="dxa"/>
            <w:vMerge w:val="continue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1113" w:type="dxa"/>
            <w:vMerge w:val="continue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7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01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02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03</w:t>
            </w:r>
          </w:p>
        </w:tc>
        <w:tc>
          <w:tcPr>
            <w:tcW w:w="561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04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05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06</w:t>
            </w:r>
          </w:p>
        </w:tc>
        <w:tc>
          <w:tcPr>
            <w:tcW w:w="561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07</w:t>
            </w:r>
          </w:p>
        </w:tc>
        <w:tc>
          <w:tcPr>
            <w:tcW w:w="560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08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09</w:t>
            </w:r>
          </w:p>
        </w:tc>
        <w:tc>
          <w:tcPr>
            <w:tcW w:w="559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10</w:t>
            </w:r>
          </w:p>
        </w:tc>
        <w:tc>
          <w:tcPr>
            <w:tcW w:w="562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11</w:t>
            </w:r>
          </w:p>
        </w:tc>
        <w:tc>
          <w:tcPr>
            <w:tcW w:w="976" w:type="dxa"/>
            <w:gridSpan w:val="2"/>
            <w:vMerge w:val="continue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5998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111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57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</w:t>
            </w:r>
          </w:p>
        </w:tc>
        <w:tc>
          <w:tcPr>
            <w:tcW w:w="561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7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8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9</w:t>
            </w:r>
          </w:p>
        </w:tc>
        <w:tc>
          <w:tcPr>
            <w:tcW w:w="561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10</w:t>
            </w:r>
          </w:p>
        </w:tc>
        <w:tc>
          <w:tcPr>
            <w:tcW w:w="560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11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12</w:t>
            </w:r>
          </w:p>
        </w:tc>
        <w:tc>
          <w:tcPr>
            <w:tcW w:w="559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13</w:t>
            </w:r>
          </w:p>
        </w:tc>
        <w:tc>
          <w:tcPr>
            <w:tcW w:w="562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14</w:t>
            </w:r>
          </w:p>
        </w:tc>
        <w:tc>
          <w:tcPr>
            <w:tcW w:w="976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15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</w:t>
            </w:r>
          </w:p>
        </w:tc>
        <w:tc>
          <w:tcPr>
            <w:tcW w:w="14311" w:type="dxa"/>
            <w:gridSpan w:val="17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lang w:val="ru-RU" w:bidi="ar-SA"/>
              </w:rPr>
              <w:t>Показатели процессной части муниципальной программы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1.1</w:t>
            </w:r>
          </w:p>
        </w:tc>
        <w:tc>
          <w:tcPr>
            <w:tcW w:w="14311" w:type="dxa"/>
            <w:gridSpan w:val="17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КПМ «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Обеспечение безопасности жизнедеятельности населения </w:t>
              <w:br/>
              <w:t>на территории Копейского городского округа</w:t>
            </w: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»</w:t>
            </w:r>
          </w:p>
        </w:tc>
      </w:tr>
      <w:tr>
        <w:trPr/>
        <w:tc>
          <w:tcPr>
            <w:tcW w:w="15269" w:type="dxa"/>
            <w:gridSpan w:val="18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kern w:val="0"/>
                <w:u w:val="none" w:color="000000"/>
                <w:lang w:val="ru-RU" w:bidi="ar-SA"/>
              </w:rPr>
              <w:t>2025 год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1.1.1</w:t>
            </w:r>
          </w:p>
        </w:tc>
        <w:tc>
          <w:tcPr>
            <w:tcW w:w="5998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ind w:right="113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Количество приобретенных ранцев противопожарных</w:t>
            </w:r>
          </w:p>
        </w:tc>
        <w:tc>
          <w:tcPr>
            <w:tcW w:w="111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0"/>
                <w:sz w:val="24"/>
                <w:szCs w:val="24"/>
                <w:u w:val="none" w:color="000000"/>
                <w:lang w:val="ru-RU" w:bidi="ar-SA"/>
              </w:rPr>
              <w:t>ед.</w:t>
            </w:r>
          </w:p>
        </w:tc>
        <w:tc>
          <w:tcPr>
            <w:tcW w:w="57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1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17</w:t>
            </w:r>
          </w:p>
        </w:tc>
        <w:tc>
          <w:tcPr>
            <w:tcW w:w="825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96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40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49" w:type="dxa"/>
            <w:gridSpan w:val="3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45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17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1.1.2</w:t>
            </w:r>
          </w:p>
        </w:tc>
        <w:tc>
          <w:tcPr>
            <w:tcW w:w="5998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ind w:right="113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</w:t>
            </w: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нижение количества пожаров (на % от уровня предыдущего года)</w:t>
            </w:r>
          </w:p>
        </w:tc>
        <w:tc>
          <w:tcPr>
            <w:tcW w:w="111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%</w:t>
            </w:r>
          </w:p>
        </w:tc>
        <w:tc>
          <w:tcPr>
            <w:tcW w:w="57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1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25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96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40</w:t>
            </w:r>
          </w:p>
        </w:tc>
        <w:tc>
          <w:tcPr>
            <w:tcW w:w="40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49" w:type="dxa"/>
            <w:gridSpan w:val="3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45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40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1.1.3</w:t>
            </w:r>
          </w:p>
        </w:tc>
        <w:tc>
          <w:tcPr>
            <w:tcW w:w="5998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ind w:right="113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Протяженность опаханной территории</w:t>
            </w:r>
          </w:p>
        </w:tc>
        <w:tc>
          <w:tcPr>
            <w:tcW w:w="111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км.</w:t>
            </w:r>
          </w:p>
        </w:tc>
        <w:tc>
          <w:tcPr>
            <w:tcW w:w="57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1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25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96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40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49" w:type="dxa"/>
            <w:gridSpan w:val="3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150</w:t>
            </w:r>
          </w:p>
        </w:tc>
        <w:tc>
          <w:tcPr>
            <w:tcW w:w="845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150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1.1.4</w:t>
            </w:r>
          </w:p>
        </w:tc>
        <w:tc>
          <w:tcPr>
            <w:tcW w:w="5998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ind w:right="113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 xml:space="preserve">Количество изготовленных и </w:t>
            </w:r>
            <w:r>
              <w:rPr>
                <w:rFonts w:eastAsia="Calibri"/>
                <w:spacing w:val="-6"/>
                <w:kern w:val="0"/>
                <w:lang w:val="ru-RU" w:bidi="ar-SA"/>
              </w:rPr>
              <w:t>установленных</w:t>
            </w: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 xml:space="preserve"> предупредительных знаков</w:t>
            </w:r>
          </w:p>
        </w:tc>
        <w:tc>
          <w:tcPr>
            <w:tcW w:w="111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0"/>
                <w:sz w:val="24"/>
                <w:szCs w:val="24"/>
                <w:u w:val="none" w:color="000000"/>
                <w:lang w:val="ru-RU" w:bidi="ar-SA"/>
              </w:rPr>
              <w:t>ед.</w:t>
            </w:r>
          </w:p>
        </w:tc>
        <w:tc>
          <w:tcPr>
            <w:tcW w:w="57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1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25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12</w:t>
            </w:r>
          </w:p>
        </w:tc>
        <w:tc>
          <w:tcPr>
            <w:tcW w:w="296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40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49" w:type="dxa"/>
            <w:gridSpan w:val="3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45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12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1.1.5</w:t>
            </w:r>
          </w:p>
        </w:tc>
        <w:tc>
          <w:tcPr>
            <w:tcW w:w="5998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ind w:right="113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Количество изданной и реализованной печатной продукции (буклетов, памяток, брошюр)</w:t>
            </w:r>
          </w:p>
        </w:tc>
        <w:tc>
          <w:tcPr>
            <w:tcW w:w="111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экз.</w:t>
            </w:r>
          </w:p>
        </w:tc>
        <w:tc>
          <w:tcPr>
            <w:tcW w:w="57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61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25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2000</w:t>
            </w:r>
          </w:p>
        </w:tc>
        <w:tc>
          <w:tcPr>
            <w:tcW w:w="296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40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49" w:type="dxa"/>
            <w:gridSpan w:val="3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45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2000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1.1.6</w:t>
            </w:r>
          </w:p>
        </w:tc>
        <w:tc>
          <w:tcPr>
            <w:tcW w:w="5998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ind w:right="113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Количество введенных на содержание муниципальных пляжей оз. Шелюгино, п. Потанино; карьер «Песочный»</w:t>
            </w:r>
          </w:p>
        </w:tc>
        <w:tc>
          <w:tcPr>
            <w:tcW w:w="111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bCs/>
                <w:color w:val="000000"/>
                <w:sz w:val="24"/>
                <w:szCs w:val="24"/>
                <w:u w:val="none" w:color="000000"/>
              </w:rPr>
            </w:pPr>
            <w:r>
              <w:rPr>
                <w:bCs/>
                <w:color w:val="000000"/>
                <w:kern w:val="0"/>
                <w:sz w:val="24"/>
                <w:szCs w:val="24"/>
                <w:u w:val="none" w:color="000000"/>
                <w:lang w:val="ru-RU" w:bidi="ar-SA"/>
              </w:rPr>
              <w:t>ед.</w:t>
            </w:r>
          </w:p>
        </w:tc>
        <w:tc>
          <w:tcPr>
            <w:tcW w:w="57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1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25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96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40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49" w:type="dxa"/>
            <w:gridSpan w:val="3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45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1.1.7</w:t>
            </w:r>
          </w:p>
        </w:tc>
        <w:tc>
          <w:tcPr>
            <w:tcW w:w="5998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ind w:right="113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Количество приобретенных и установленных пунктов речевого оповещения</w:t>
            </w:r>
          </w:p>
        </w:tc>
        <w:tc>
          <w:tcPr>
            <w:tcW w:w="111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0"/>
                <w:sz w:val="24"/>
                <w:szCs w:val="24"/>
                <w:u w:val="none" w:color="000000"/>
                <w:lang w:val="ru-RU" w:bidi="ar-SA"/>
              </w:rPr>
              <w:t>ед.</w:t>
            </w:r>
          </w:p>
        </w:tc>
        <w:tc>
          <w:tcPr>
            <w:tcW w:w="57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1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25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96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40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49" w:type="dxa"/>
            <w:gridSpan w:val="3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45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1.1.8</w:t>
            </w:r>
          </w:p>
        </w:tc>
        <w:tc>
          <w:tcPr>
            <w:tcW w:w="5998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ind w:right="113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Количество приобретенного имущества и ресурсов жизнеобеспечения (создание запасов материально-технических средств в случае возникновения чрезвычайных ситуаций)</w:t>
            </w:r>
          </w:p>
        </w:tc>
        <w:tc>
          <w:tcPr>
            <w:tcW w:w="111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bCs/>
                <w:color w:val="000000"/>
                <w:sz w:val="24"/>
                <w:szCs w:val="24"/>
                <w:u w:val="none" w:color="000000"/>
              </w:rPr>
            </w:pPr>
            <w:r>
              <w:rPr>
                <w:bCs/>
                <w:color w:val="000000"/>
                <w:kern w:val="0"/>
                <w:sz w:val="24"/>
                <w:szCs w:val="24"/>
                <w:u w:val="none" w:color="000000"/>
                <w:lang w:val="ru-RU" w:bidi="ar-SA"/>
              </w:rPr>
              <w:t>ед.</w:t>
            </w:r>
          </w:p>
        </w:tc>
        <w:tc>
          <w:tcPr>
            <w:tcW w:w="57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1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25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96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40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49" w:type="dxa"/>
            <w:gridSpan w:val="3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541</w:t>
            </w:r>
          </w:p>
        </w:tc>
        <w:tc>
          <w:tcPr>
            <w:tcW w:w="845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541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1.1.9</w:t>
            </w:r>
          </w:p>
        </w:tc>
        <w:tc>
          <w:tcPr>
            <w:tcW w:w="599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right="86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Количество оборудованных защитных сооружений</w:t>
            </w:r>
          </w:p>
        </w:tc>
        <w:tc>
          <w:tcPr>
            <w:tcW w:w="111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0"/>
                <w:sz w:val="24"/>
                <w:szCs w:val="24"/>
                <w:u w:val="none" w:color="000000"/>
                <w:lang w:val="ru-RU" w:bidi="ar-SA"/>
              </w:rPr>
              <w:t>ед.</w:t>
            </w:r>
          </w:p>
        </w:tc>
        <w:tc>
          <w:tcPr>
            <w:tcW w:w="57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1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25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96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40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49" w:type="dxa"/>
            <w:gridSpan w:val="3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845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1.1.10</w:t>
            </w:r>
          </w:p>
        </w:tc>
        <w:tc>
          <w:tcPr>
            <w:tcW w:w="599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right="86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Количество поставленных насосных станций</w:t>
            </w:r>
          </w:p>
        </w:tc>
        <w:tc>
          <w:tcPr>
            <w:tcW w:w="111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bCs/>
                <w:color w:val="000000"/>
                <w:sz w:val="24"/>
                <w:szCs w:val="24"/>
                <w:u w:val="none" w:color="000000"/>
              </w:rPr>
            </w:pPr>
            <w:r>
              <w:rPr>
                <w:bCs/>
                <w:color w:val="000000"/>
                <w:kern w:val="0"/>
                <w:sz w:val="24"/>
                <w:szCs w:val="24"/>
                <w:u w:val="none" w:color="000000"/>
                <w:lang w:val="ru-RU" w:bidi="ar-SA"/>
              </w:rPr>
              <w:t>ед.</w:t>
            </w:r>
          </w:p>
        </w:tc>
        <w:tc>
          <w:tcPr>
            <w:tcW w:w="57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561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25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96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40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49" w:type="dxa"/>
            <w:gridSpan w:val="3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45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1.1.11</w:t>
            </w:r>
          </w:p>
        </w:tc>
        <w:tc>
          <w:tcPr>
            <w:tcW w:w="599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right="86"/>
              <w:jc w:val="both"/>
              <w:rPr>
                <w:kern w:val="0"/>
                <w:lang w:val="ru-RU" w:bidi="ar-SA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Количество разработанных</w:t>
            </w:r>
            <w:r>
              <w:rPr>
                <w:kern w:val="0"/>
                <w:lang w:val="ru-RU" w:bidi="ar-SA"/>
              </w:rPr>
              <w:t xml:space="preserve"> проектно-сметных документаций на текущий ремонт в защитных сооружениях</w:t>
            </w:r>
          </w:p>
        </w:tc>
        <w:tc>
          <w:tcPr>
            <w:tcW w:w="111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bCs/>
                <w:color w:val="000000"/>
                <w:sz w:val="24"/>
                <w:szCs w:val="24"/>
                <w:u w:val="none" w:color="000000"/>
              </w:rPr>
            </w:pPr>
            <w:r>
              <w:rPr>
                <w:bCs/>
                <w:color w:val="000000"/>
                <w:kern w:val="0"/>
                <w:sz w:val="24"/>
                <w:szCs w:val="24"/>
                <w:u w:val="none" w:color="000000"/>
                <w:lang w:val="ru-RU" w:bidi="ar-SA"/>
              </w:rPr>
              <w:t>ед.</w:t>
            </w:r>
          </w:p>
        </w:tc>
        <w:tc>
          <w:tcPr>
            <w:tcW w:w="57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1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25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96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40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49" w:type="dxa"/>
            <w:gridSpan w:val="3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845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1.1.12</w:t>
            </w:r>
          </w:p>
        </w:tc>
        <w:tc>
          <w:tcPr>
            <w:tcW w:w="599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right="86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Количество приобретенной организационной техники для оборудования единой дежурной диспетчерской службы</w:t>
            </w:r>
          </w:p>
        </w:tc>
        <w:tc>
          <w:tcPr>
            <w:tcW w:w="111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0"/>
                <w:sz w:val="24"/>
                <w:szCs w:val="24"/>
                <w:u w:val="none" w:color="000000"/>
                <w:lang w:val="ru-RU" w:bidi="ar-SA"/>
              </w:rPr>
              <w:t>ед.</w:t>
            </w:r>
          </w:p>
        </w:tc>
        <w:tc>
          <w:tcPr>
            <w:tcW w:w="57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1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25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96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40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49" w:type="dxa"/>
            <w:gridSpan w:val="3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29</w:t>
            </w:r>
          </w:p>
        </w:tc>
        <w:tc>
          <w:tcPr>
            <w:tcW w:w="845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29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1.1.13</w:t>
            </w:r>
          </w:p>
        </w:tc>
        <w:tc>
          <w:tcPr>
            <w:tcW w:w="599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right="86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Количество монтируемых систем АПС</w:t>
            </w:r>
          </w:p>
        </w:tc>
        <w:tc>
          <w:tcPr>
            <w:tcW w:w="111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0"/>
                <w:sz w:val="24"/>
                <w:szCs w:val="24"/>
                <w:u w:val="none" w:color="000000"/>
                <w:lang w:val="ru-RU" w:bidi="ar-SA"/>
              </w:rPr>
              <w:t>ед.</w:t>
            </w:r>
          </w:p>
        </w:tc>
        <w:tc>
          <w:tcPr>
            <w:tcW w:w="57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1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25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96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40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49" w:type="dxa"/>
            <w:gridSpan w:val="3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845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1.1.14</w:t>
            </w:r>
          </w:p>
        </w:tc>
        <w:tc>
          <w:tcPr>
            <w:tcW w:w="599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right="86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Количество обслуживаемых пунктов речевого оповещения по системе КСЭОН и обеспечение средствами связи</w:t>
            </w:r>
          </w:p>
        </w:tc>
        <w:tc>
          <w:tcPr>
            <w:tcW w:w="111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0"/>
                <w:sz w:val="24"/>
                <w:szCs w:val="24"/>
                <w:u w:val="none" w:color="000000"/>
                <w:lang w:val="ru-RU" w:bidi="ar-SA"/>
              </w:rPr>
              <w:t>ед.</w:t>
            </w:r>
          </w:p>
        </w:tc>
        <w:tc>
          <w:tcPr>
            <w:tcW w:w="57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1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25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96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40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49" w:type="dxa"/>
            <w:gridSpan w:val="3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845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1.1.15</w:t>
            </w:r>
          </w:p>
        </w:tc>
        <w:tc>
          <w:tcPr>
            <w:tcW w:w="599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right="86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Количество обслуживаемых каналов связи постов видеонаблюдения</w:t>
            </w:r>
          </w:p>
        </w:tc>
        <w:tc>
          <w:tcPr>
            <w:tcW w:w="111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0"/>
                <w:sz w:val="24"/>
                <w:szCs w:val="24"/>
                <w:u w:val="none" w:color="000000"/>
                <w:lang w:val="ru-RU" w:bidi="ar-SA"/>
              </w:rPr>
              <w:t>ед.</w:t>
            </w:r>
          </w:p>
        </w:tc>
        <w:tc>
          <w:tcPr>
            <w:tcW w:w="57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1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25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96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40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49" w:type="dxa"/>
            <w:gridSpan w:val="3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845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</w:t>
            </w:r>
          </w:p>
        </w:tc>
      </w:tr>
      <w:tr>
        <w:trPr/>
        <w:tc>
          <w:tcPr>
            <w:tcW w:w="15269" w:type="dxa"/>
            <w:gridSpan w:val="18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kern w:val="0"/>
                <w:u w:val="none" w:color="000000"/>
                <w:lang w:val="ru-RU" w:bidi="ar-SA"/>
              </w:rPr>
              <w:t>2026 год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1.1.1</w:t>
            </w:r>
          </w:p>
        </w:tc>
        <w:tc>
          <w:tcPr>
            <w:tcW w:w="5998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ind w:right="113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Количество приобретенных ранцев противопожарных</w:t>
            </w:r>
          </w:p>
        </w:tc>
        <w:tc>
          <w:tcPr>
            <w:tcW w:w="111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0"/>
                <w:sz w:val="24"/>
                <w:szCs w:val="24"/>
                <w:u w:val="none" w:color="000000"/>
                <w:lang w:val="ru-RU" w:bidi="ar-SA"/>
              </w:rPr>
              <w:t>ед.</w:t>
            </w:r>
          </w:p>
        </w:tc>
        <w:tc>
          <w:tcPr>
            <w:tcW w:w="57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1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25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96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40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49" w:type="dxa"/>
            <w:gridSpan w:val="3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45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1.1.2</w:t>
            </w:r>
          </w:p>
        </w:tc>
        <w:tc>
          <w:tcPr>
            <w:tcW w:w="5998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ind w:right="113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</w:t>
            </w: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нижение количества пожаров (на % от уровня предыдущего года)</w:t>
            </w:r>
          </w:p>
        </w:tc>
        <w:tc>
          <w:tcPr>
            <w:tcW w:w="111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%</w:t>
            </w:r>
          </w:p>
        </w:tc>
        <w:tc>
          <w:tcPr>
            <w:tcW w:w="57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1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25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96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40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49" w:type="dxa"/>
            <w:gridSpan w:val="3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45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40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1.1.3</w:t>
            </w:r>
          </w:p>
        </w:tc>
        <w:tc>
          <w:tcPr>
            <w:tcW w:w="5998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ind w:right="113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Протяженность опаханной территории</w:t>
            </w:r>
          </w:p>
        </w:tc>
        <w:tc>
          <w:tcPr>
            <w:tcW w:w="111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км.</w:t>
            </w:r>
          </w:p>
        </w:tc>
        <w:tc>
          <w:tcPr>
            <w:tcW w:w="57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1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25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96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40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49" w:type="dxa"/>
            <w:gridSpan w:val="3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45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150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1.1.4</w:t>
            </w:r>
          </w:p>
        </w:tc>
        <w:tc>
          <w:tcPr>
            <w:tcW w:w="5998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ind w:right="113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 xml:space="preserve">Количество изготовленных и </w:t>
            </w:r>
            <w:r>
              <w:rPr>
                <w:rFonts w:eastAsia="Calibri"/>
                <w:spacing w:val="-6"/>
                <w:kern w:val="0"/>
                <w:lang w:val="ru-RU" w:bidi="ar-SA"/>
              </w:rPr>
              <w:t>установленных</w:t>
            </w: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 xml:space="preserve"> предупредительных знаков</w:t>
            </w:r>
          </w:p>
        </w:tc>
        <w:tc>
          <w:tcPr>
            <w:tcW w:w="111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0"/>
                <w:sz w:val="24"/>
                <w:szCs w:val="24"/>
                <w:u w:val="none" w:color="000000"/>
                <w:lang w:val="ru-RU" w:bidi="ar-SA"/>
              </w:rPr>
              <w:t>ед.</w:t>
            </w:r>
          </w:p>
        </w:tc>
        <w:tc>
          <w:tcPr>
            <w:tcW w:w="57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1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25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296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40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49" w:type="dxa"/>
            <w:gridSpan w:val="3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45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1.1.5</w:t>
            </w:r>
          </w:p>
        </w:tc>
        <w:tc>
          <w:tcPr>
            <w:tcW w:w="5998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ind w:right="113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Количество изданной и реализованной печатной продукции (буклетов, памяток, брошюр)</w:t>
            </w:r>
          </w:p>
        </w:tc>
        <w:tc>
          <w:tcPr>
            <w:tcW w:w="111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экз.</w:t>
            </w:r>
          </w:p>
        </w:tc>
        <w:tc>
          <w:tcPr>
            <w:tcW w:w="57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61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25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296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40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49" w:type="dxa"/>
            <w:gridSpan w:val="3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45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1.1.6</w:t>
            </w:r>
          </w:p>
        </w:tc>
        <w:tc>
          <w:tcPr>
            <w:tcW w:w="5998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ind w:right="113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Количество введенных на содержание муниципальных пляжей оз. Шелюгино, п. Потанино; карьер «Песочный»</w:t>
            </w:r>
          </w:p>
        </w:tc>
        <w:tc>
          <w:tcPr>
            <w:tcW w:w="111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bCs/>
                <w:color w:val="000000"/>
                <w:sz w:val="24"/>
                <w:szCs w:val="24"/>
                <w:u w:val="none" w:color="000000"/>
              </w:rPr>
            </w:pPr>
            <w:r>
              <w:rPr>
                <w:bCs/>
                <w:color w:val="000000"/>
                <w:kern w:val="0"/>
                <w:sz w:val="24"/>
                <w:szCs w:val="24"/>
                <w:u w:val="none" w:color="000000"/>
                <w:lang w:val="ru-RU" w:bidi="ar-SA"/>
              </w:rPr>
              <w:t>ед.</w:t>
            </w:r>
          </w:p>
        </w:tc>
        <w:tc>
          <w:tcPr>
            <w:tcW w:w="57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1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25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96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40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49" w:type="dxa"/>
            <w:gridSpan w:val="3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45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2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1.1.7</w:t>
            </w:r>
          </w:p>
        </w:tc>
        <w:tc>
          <w:tcPr>
            <w:tcW w:w="5998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ind w:right="113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Количество приобретенных и установленных пунктов речевого оповещения</w:t>
            </w:r>
          </w:p>
        </w:tc>
        <w:tc>
          <w:tcPr>
            <w:tcW w:w="111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0"/>
                <w:sz w:val="24"/>
                <w:szCs w:val="24"/>
                <w:u w:val="none" w:color="000000"/>
                <w:lang w:val="ru-RU" w:bidi="ar-SA"/>
              </w:rPr>
              <w:t>ед.</w:t>
            </w:r>
          </w:p>
        </w:tc>
        <w:tc>
          <w:tcPr>
            <w:tcW w:w="57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1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25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96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40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49" w:type="dxa"/>
            <w:gridSpan w:val="3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45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1.1.8</w:t>
            </w:r>
          </w:p>
        </w:tc>
        <w:tc>
          <w:tcPr>
            <w:tcW w:w="5998" w:type="dxa"/>
            <w:tcBorders/>
          </w:tcPr>
          <w:p>
            <w:pPr>
              <w:pStyle w:val="Normal"/>
              <w:widowControl/>
              <w:suppressAutoHyphens w:val="true"/>
              <w:spacing w:lineRule="atLeast" w:line="240" w:before="0" w:after="0"/>
              <w:ind w:right="113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Количество приобретенного имущества и ресурсов жизнеобеспечения (создание запасов материально-технических средств в случае возникновения чрезвычайных ситуаций)</w:t>
            </w:r>
          </w:p>
        </w:tc>
        <w:tc>
          <w:tcPr>
            <w:tcW w:w="111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bCs/>
                <w:color w:val="000000"/>
                <w:sz w:val="24"/>
                <w:szCs w:val="24"/>
                <w:u w:val="none" w:color="000000"/>
              </w:rPr>
            </w:pPr>
            <w:r>
              <w:rPr>
                <w:bCs/>
                <w:color w:val="000000"/>
                <w:kern w:val="0"/>
                <w:sz w:val="24"/>
                <w:szCs w:val="24"/>
                <w:u w:val="none" w:color="000000"/>
                <w:lang w:val="ru-RU" w:bidi="ar-SA"/>
              </w:rPr>
              <w:t>ед.</w:t>
            </w:r>
          </w:p>
        </w:tc>
        <w:tc>
          <w:tcPr>
            <w:tcW w:w="57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1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25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96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40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49" w:type="dxa"/>
            <w:gridSpan w:val="3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45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200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1.1.9</w:t>
            </w:r>
          </w:p>
        </w:tc>
        <w:tc>
          <w:tcPr>
            <w:tcW w:w="599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right="86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Количество оборудованных защитных сооружений</w:t>
            </w:r>
          </w:p>
        </w:tc>
        <w:tc>
          <w:tcPr>
            <w:tcW w:w="111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0"/>
                <w:sz w:val="24"/>
                <w:szCs w:val="24"/>
                <w:u w:val="none" w:color="000000"/>
                <w:lang w:val="ru-RU" w:bidi="ar-SA"/>
              </w:rPr>
              <w:t>ед.</w:t>
            </w:r>
          </w:p>
        </w:tc>
        <w:tc>
          <w:tcPr>
            <w:tcW w:w="57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1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25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96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40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49" w:type="dxa"/>
            <w:gridSpan w:val="3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45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1.1.10</w:t>
            </w:r>
          </w:p>
        </w:tc>
        <w:tc>
          <w:tcPr>
            <w:tcW w:w="599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right="86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Количество поставленных насосных станций</w:t>
            </w:r>
          </w:p>
        </w:tc>
        <w:tc>
          <w:tcPr>
            <w:tcW w:w="111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bCs/>
                <w:color w:val="000000"/>
                <w:sz w:val="24"/>
                <w:szCs w:val="24"/>
                <w:u w:val="none" w:color="000000"/>
              </w:rPr>
            </w:pPr>
            <w:r>
              <w:rPr>
                <w:bCs/>
                <w:color w:val="000000"/>
                <w:kern w:val="0"/>
                <w:sz w:val="24"/>
                <w:szCs w:val="24"/>
                <w:u w:val="none" w:color="000000"/>
                <w:lang w:val="ru-RU" w:bidi="ar-SA"/>
              </w:rPr>
              <w:t>ед.</w:t>
            </w:r>
          </w:p>
        </w:tc>
        <w:tc>
          <w:tcPr>
            <w:tcW w:w="57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561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25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96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40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49" w:type="dxa"/>
            <w:gridSpan w:val="3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45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1.1.11</w:t>
            </w:r>
          </w:p>
        </w:tc>
        <w:tc>
          <w:tcPr>
            <w:tcW w:w="599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right="86"/>
              <w:jc w:val="both"/>
              <w:rPr>
                <w:kern w:val="0"/>
                <w:lang w:val="ru-RU" w:bidi="ar-SA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Количество разработанных</w:t>
            </w:r>
            <w:r>
              <w:rPr>
                <w:kern w:val="0"/>
                <w:lang w:val="ru-RU" w:bidi="ar-SA"/>
              </w:rPr>
              <w:t xml:space="preserve"> проектно-сметных документаций на текущий ремонт в защитных сооружениях</w:t>
            </w:r>
          </w:p>
        </w:tc>
        <w:tc>
          <w:tcPr>
            <w:tcW w:w="111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bCs/>
                <w:color w:val="000000"/>
                <w:sz w:val="24"/>
                <w:szCs w:val="24"/>
                <w:u w:val="none" w:color="000000"/>
              </w:rPr>
            </w:pPr>
            <w:r>
              <w:rPr>
                <w:bCs/>
                <w:color w:val="000000"/>
                <w:kern w:val="0"/>
                <w:sz w:val="24"/>
                <w:szCs w:val="24"/>
                <w:u w:val="none" w:color="000000"/>
                <w:lang w:val="ru-RU" w:bidi="ar-SA"/>
              </w:rPr>
              <w:t>ед.</w:t>
            </w:r>
          </w:p>
        </w:tc>
        <w:tc>
          <w:tcPr>
            <w:tcW w:w="57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1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25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96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40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49" w:type="dxa"/>
            <w:gridSpan w:val="3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45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1.1.12</w:t>
            </w:r>
          </w:p>
        </w:tc>
        <w:tc>
          <w:tcPr>
            <w:tcW w:w="599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right="86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Количество приобретенной организационной техники для оборудования единой дежурной диспетчерской службы</w:t>
            </w:r>
          </w:p>
        </w:tc>
        <w:tc>
          <w:tcPr>
            <w:tcW w:w="111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0"/>
                <w:sz w:val="24"/>
                <w:szCs w:val="24"/>
                <w:u w:val="none" w:color="000000"/>
                <w:lang w:val="ru-RU" w:bidi="ar-SA"/>
              </w:rPr>
              <w:t>ед.</w:t>
            </w:r>
          </w:p>
        </w:tc>
        <w:tc>
          <w:tcPr>
            <w:tcW w:w="57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1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25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96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40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49" w:type="dxa"/>
            <w:gridSpan w:val="3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45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25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1.1.13</w:t>
            </w:r>
          </w:p>
        </w:tc>
        <w:tc>
          <w:tcPr>
            <w:tcW w:w="599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right="86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Количество монтируемых систем АПС</w:t>
            </w:r>
          </w:p>
        </w:tc>
        <w:tc>
          <w:tcPr>
            <w:tcW w:w="111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0"/>
                <w:sz w:val="24"/>
                <w:szCs w:val="24"/>
                <w:u w:val="none" w:color="000000"/>
                <w:lang w:val="ru-RU" w:bidi="ar-SA"/>
              </w:rPr>
              <w:t>ед.</w:t>
            </w:r>
          </w:p>
        </w:tc>
        <w:tc>
          <w:tcPr>
            <w:tcW w:w="57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1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25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96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40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49" w:type="dxa"/>
            <w:gridSpan w:val="3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845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1.1.14</w:t>
            </w:r>
          </w:p>
        </w:tc>
        <w:tc>
          <w:tcPr>
            <w:tcW w:w="599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right="86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Количество обслуживаемых пунктов речевого оповещения по системе КСЭОН и обеспечение средствами связи</w:t>
            </w:r>
          </w:p>
        </w:tc>
        <w:tc>
          <w:tcPr>
            <w:tcW w:w="111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0"/>
                <w:sz w:val="24"/>
                <w:szCs w:val="24"/>
                <w:u w:val="none" w:color="000000"/>
                <w:lang w:val="ru-RU" w:bidi="ar-SA"/>
              </w:rPr>
              <w:t>ед.</w:t>
            </w:r>
          </w:p>
        </w:tc>
        <w:tc>
          <w:tcPr>
            <w:tcW w:w="57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1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25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96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40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49" w:type="dxa"/>
            <w:gridSpan w:val="3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</w:t>
            </w:r>
          </w:p>
        </w:tc>
        <w:tc>
          <w:tcPr>
            <w:tcW w:w="845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6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uppressAutoHyphens w:val="true"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1.1.15</w:t>
            </w:r>
          </w:p>
        </w:tc>
        <w:tc>
          <w:tcPr>
            <w:tcW w:w="5998" w:type="dxa"/>
            <w:tcBorders/>
          </w:tcPr>
          <w:p>
            <w:pPr>
              <w:pStyle w:val="Normal"/>
              <w:widowControl/>
              <w:suppressAutoHyphens w:val="true"/>
              <w:spacing w:before="0" w:after="0"/>
              <w:ind w:right="86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Количество обслуживаемых каналов связи постов видеонаблюдения</w:t>
            </w:r>
          </w:p>
        </w:tc>
        <w:tc>
          <w:tcPr>
            <w:tcW w:w="111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kern w:val="0"/>
                <w:sz w:val="24"/>
                <w:szCs w:val="24"/>
                <w:u w:val="none" w:color="000000"/>
                <w:lang w:val="ru-RU" w:bidi="ar-SA"/>
              </w:rPr>
              <w:t>ед.</w:t>
            </w:r>
          </w:p>
        </w:tc>
        <w:tc>
          <w:tcPr>
            <w:tcW w:w="57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1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60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25" w:type="dxa"/>
            <w:gridSpan w:val="2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96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577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403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849" w:type="dxa"/>
            <w:gridSpan w:val="3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845" w:type="dxa"/>
            <w:tcBorders/>
          </w:tcPr>
          <w:p>
            <w:pPr>
              <w:pStyle w:val="BodyText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1</w:t>
            </w:r>
          </w:p>
        </w:tc>
      </w:tr>
    </w:tbl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rPr/>
      </w:pPr>
      <w:r>
        <w:rPr/>
        <w:t xml:space="preserve">                                                                                   </w:t>
      </w:r>
      <w:r>
        <w:rPr/>
        <w:t>4. Структура муниципальной программы</w:t>
      </w:r>
    </w:p>
    <w:tbl>
      <w:tblPr>
        <w:tblW w:w="148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55"/>
        <w:gridCol w:w="7190"/>
        <w:gridCol w:w="3830"/>
        <w:gridCol w:w="2974"/>
      </w:tblGrid>
      <w:tr>
        <w:trPr>
          <w:tblHeader w:val="true"/>
          <w:trHeight w:val="491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Задачи структурного элемента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Связь</w:t>
            </w:r>
          </w:p>
          <w:p>
            <w:pPr>
              <w:pStyle w:val="Normal"/>
              <w:jc w:val="center"/>
              <w:rPr/>
            </w:pPr>
            <w:r>
              <w:rPr/>
              <w:t>с показателями</w:t>
            </w:r>
          </w:p>
          <w:p>
            <w:pPr>
              <w:pStyle w:val="Normal"/>
              <w:jc w:val="center"/>
              <w:rPr>
                <w:i/>
                <w:i/>
              </w:rPr>
            </w:pPr>
            <w:r>
              <w:rPr>
                <w:i/>
              </w:rPr>
              <w:t>(наименование или код показателя из таблицы 2 паспорта)</w:t>
            </w:r>
          </w:p>
        </w:tc>
      </w:tr>
      <w:tr>
        <w:trPr>
          <w:tblHeader w:val="true"/>
          <w:trHeight w:val="271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</w:tr>
      <w:tr>
        <w:trPr>
          <w:trHeight w:val="415" w:hRule="atLeast"/>
        </w:trPr>
        <w:tc>
          <w:tcPr>
            <w:tcW w:w="148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1.1</w:t>
            </w:r>
            <w:r>
              <w:rPr>
                <w:color w:val="000000"/>
              </w:rPr>
              <w:t>. КПМ «</w:t>
            </w:r>
            <w:r>
              <w:rPr/>
              <w:t xml:space="preserve">Обеспечение безопасности жизнедеятельности населения </w:t>
              <w:br/>
              <w:t>на территории Копейского городского округа</w:t>
            </w:r>
            <w:r>
              <w:rPr>
                <w:color w:val="000000"/>
              </w:rPr>
              <w:t>»</w:t>
            </w:r>
          </w:p>
        </w:tc>
      </w:tr>
      <w:tr>
        <w:trPr>
          <w:trHeight w:val="295" w:hRule="atLeast"/>
        </w:trPr>
        <w:tc>
          <w:tcPr>
            <w:tcW w:w="8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ind w:firstLine="426"/>
              <w:jc w:val="center"/>
              <w:rPr/>
            </w:pPr>
            <w:r>
              <w:rPr/>
              <w:t xml:space="preserve"> </w:t>
            </w:r>
            <w:r>
              <w:rPr/>
              <w:t>МУ «Управление гражданской защиты населения»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01.01.2025 – 31.12.2030</w:t>
            </w:r>
          </w:p>
        </w:tc>
      </w:tr>
      <w:tr>
        <w:trPr>
          <w:trHeight w:val="171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1.1.1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Обеспечение усиления мер пожарной безопасности в границах округа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Cs/>
                <w:color w:val="000000"/>
                <w:u w:val="none" w:color="000000"/>
              </w:rPr>
            </w:pPr>
            <w:r>
              <w:rPr/>
              <w:t>- приобретение</w:t>
            </w:r>
            <w:r>
              <w:rPr>
                <w:bCs/>
                <w:color w:val="000000"/>
                <w:u w:val="none" w:color="000000"/>
              </w:rPr>
              <w:t xml:space="preserve"> ранцев противопожарных;</w:t>
            </w:r>
          </w:p>
          <w:p>
            <w:pPr>
              <w:pStyle w:val="Normal"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- ежегодное сокращение количества пожаров на территории округа на 40 %;</w:t>
            </w:r>
          </w:p>
          <w:p>
            <w:pPr>
              <w:pStyle w:val="Normal"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- опашка 900 километров территории округа;</w:t>
            </w:r>
          </w:p>
          <w:p>
            <w:pPr>
              <w:pStyle w:val="Normal"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 xml:space="preserve">- изготовление и </w:t>
            </w:r>
            <w:r>
              <w:rPr>
                <w:rFonts w:eastAsia="Calibri"/>
                <w:spacing w:val="-6"/>
              </w:rPr>
              <w:t>установка</w:t>
            </w:r>
            <w:r>
              <w:rPr>
                <w:bCs/>
                <w:color w:val="000000"/>
                <w:u w:val="none" w:color="000000"/>
              </w:rPr>
              <w:t xml:space="preserve"> предупредительных знаков;</w:t>
            </w:r>
          </w:p>
          <w:p>
            <w:pPr>
              <w:pStyle w:val="Normal"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-</w:t>
            </w:r>
            <w:r>
              <w:rPr>
                <w:bCs/>
                <w:color w:val="000000"/>
                <w:sz w:val="22"/>
                <w:szCs w:val="22"/>
                <w:u w:val="none" w:color="000000"/>
              </w:rPr>
              <w:t xml:space="preserve"> </w:t>
            </w:r>
            <w:r>
              <w:rPr>
                <w:bCs/>
                <w:color w:val="000000"/>
                <w:u w:val="none" w:color="000000"/>
              </w:rPr>
              <w:t>разработка и издание печатной продукции (буклетов, памяток, брошюр)</w:t>
            </w:r>
          </w:p>
          <w:p>
            <w:pPr>
              <w:pStyle w:val="Normal"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1.1; 1.2; 1.3; 1.4; 1.5</w:t>
            </w:r>
          </w:p>
        </w:tc>
      </w:tr>
      <w:tr>
        <w:trPr>
          <w:trHeight w:val="822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1.1.2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Обустройство мест массового отдыха населения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86"/>
              <w:jc w:val="center"/>
              <w:rPr/>
            </w:pPr>
            <w:r>
              <w:rPr/>
              <w:t>- ежегодное содержание муниципальных пляжей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ind w:left="0"/>
              <w:jc w:val="both"/>
              <w:rPr/>
            </w:pPr>
            <w:r>
              <w:rPr/>
              <w:t>2.1</w:t>
            </w:r>
          </w:p>
        </w:tc>
      </w:tr>
      <w:tr>
        <w:trPr>
          <w:trHeight w:val="171" w:hRule="atLeast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1.1.3</w:t>
            </w:r>
          </w:p>
        </w:tc>
        <w:tc>
          <w:tcPr>
            <w:tcW w:w="7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Оповещение населения об угрозе возникновения и возникновении чрезвычайных ситуаций</w:t>
            </w:r>
          </w:p>
        </w:tc>
        <w:tc>
          <w:tcPr>
            <w:tcW w:w="3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 приобретение и установка  пунктов речевого оповещения населения</w:t>
            </w:r>
          </w:p>
        </w:tc>
        <w:tc>
          <w:tcPr>
            <w:tcW w:w="29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3.1</w:t>
            </w:r>
          </w:p>
        </w:tc>
      </w:tr>
      <w:tr>
        <w:trPr>
          <w:trHeight w:val="171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1.1.4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Оказание своевременной помощи по ликвидации последствий чрезвычайных ситуаций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 приобретение 1541 единицы вещевого имущества и ресурсов жизнеобеспечения (создание запасов материально-технических средств в случае возникновения чрезвычайных ситуаций);</w:t>
            </w:r>
          </w:p>
          <w:p>
            <w:pPr>
              <w:pStyle w:val="Normal"/>
              <w:jc w:val="center"/>
              <w:rPr/>
            </w:pPr>
            <w:r>
              <w:rPr/>
              <w:t>- текущий ремонт и оборудование 2 единиц защитных сооружений</w:t>
            </w:r>
          </w:p>
          <w:p>
            <w:pPr>
              <w:pStyle w:val="Normal"/>
              <w:jc w:val="center"/>
              <w:rPr/>
            </w:pPr>
            <w:r>
              <w:rPr/>
              <w:t>- поставка 1 единицы насосной станции</w:t>
            </w:r>
          </w:p>
          <w:p>
            <w:pPr>
              <w:pStyle w:val="Normal"/>
              <w:jc w:val="center"/>
              <w:rPr/>
            </w:pPr>
            <w:r>
              <w:rPr/>
              <w:t>-</w:t>
            </w:r>
            <w:r>
              <w:rPr>
                <w:bCs/>
                <w:color w:val="000000"/>
                <w:u w:val="none" w:color="000000"/>
              </w:rPr>
              <w:t xml:space="preserve"> разработка</w:t>
            </w:r>
            <w:r>
              <w:rPr/>
              <w:t xml:space="preserve"> 2 единиц проектно-сметной документации на текущий ремонт в защитных сооружениях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4.1; 4.2; 4.3; 4.4</w:t>
            </w:r>
          </w:p>
        </w:tc>
      </w:tr>
      <w:tr>
        <w:trPr>
          <w:trHeight w:val="171" w:hRule="atLeast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1.1.5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Техническое оснащение и совершенствование единой дежурной диспетчерской службы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 приобретение организационной техники для ЕДДС;</w:t>
            </w:r>
          </w:p>
          <w:p>
            <w:pPr>
              <w:pStyle w:val="Normal"/>
              <w:jc w:val="center"/>
              <w:rPr/>
            </w:pPr>
            <w:r>
              <w:rPr/>
              <w:t>- монтаж автоматической пожарной сигнализации;</w:t>
            </w:r>
          </w:p>
          <w:p>
            <w:pPr>
              <w:pStyle w:val="Normal"/>
              <w:jc w:val="center"/>
              <w:rPr/>
            </w:pPr>
            <w:r>
              <w:rPr/>
              <w:t>- техническое обслуживание  пунктов речевого оповещения по системе КСЭОН и обеспечение средствами связи;</w:t>
            </w:r>
          </w:p>
          <w:p>
            <w:pPr>
              <w:pStyle w:val="Normal"/>
              <w:jc w:val="center"/>
              <w:rPr/>
            </w:pPr>
            <w:r>
              <w:rPr/>
              <w:t>- ежегодное обслуживание каналов связи постов видеонаблюдения</w:t>
            </w:r>
          </w:p>
          <w:p>
            <w:pPr>
              <w:pStyle w:val="Normal"/>
              <w:jc w:val="center"/>
              <w:rPr/>
            </w:pPr>
            <w:r>
              <w:rPr/>
              <w:t>- восстановление поста видеонаблюдения «Книга памяти»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5.1; 5.2; 5.3; 5.4.</w:t>
            </w:r>
          </w:p>
        </w:tc>
      </w:tr>
    </w:tbl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rPr/>
      </w:pPr>
      <w:r>
        <w:rPr/>
        <w:t xml:space="preserve">                                                            </w:t>
      </w:r>
      <w:r>
        <w:rPr/>
        <w:t>5. Финансовое обеспечение муниципальной программы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2731"/>
        <w:gridCol w:w="1844"/>
        <w:gridCol w:w="1422"/>
        <w:gridCol w:w="1447"/>
        <w:gridCol w:w="1452"/>
        <w:gridCol w:w="1339"/>
        <w:gridCol w:w="1402"/>
        <w:gridCol w:w="1397"/>
        <w:gridCol w:w="1392"/>
      </w:tblGrid>
      <w:tr>
        <w:trPr>
          <w:trHeight w:val="193" w:hRule="atLeast"/>
        </w:trPr>
        <w:tc>
          <w:tcPr>
            <w:tcW w:w="2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Источник финансового обеспечения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Ответствен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ный исполнитель/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соисполнитель</w:t>
            </w:r>
          </w:p>
        </w:tc>
        <w:tc>
          <w:tcPr>
            <w:tcW w:w="98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Объем финансового обеспечения по годам реализации, тыс. рублей</w:t>
            </w:r>
          </w:p>
        </w:tc>
      </w:tr>
      <w:tr>
        <w:trPr>
          <w:trHeight w:val="193" w:hRule="atLeast"/>
        </w:trPr>
        <w:tc>
          <w:tcPr>
            <w:tcW w:w="27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</w:r>
          </w:p>
        </w:tc>
        <w:tc>
          <w:tcPr>
            <w:tcW w:w="18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2029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2030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Всего:</w:t>
            </w:r>
          </w:p>
        </w:tc>
      </w:tr>
      <w:tr>
        <w:trPr>
          <w:trHeight w:val="193" w:hRule="atLeast"/>
        </w:trPr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>Всего,в т.ч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>МУ «УГЗН»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14378,46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12312,73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12312,73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12312,73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7200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7200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65716,64</w:t>
            </w:r>
          </w:p>
        </w:tc>
      </w:tr>
      <w:tr>
        <w:trPr>
          <w:trHeight w:val="193" w:hRule="atLeast"/>
        </w:trPr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>МБ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>МУ «УГЗН»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8444,04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12000,00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12000,00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12000,00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7200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7200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58844,04</w:t>
            </w:r>
          </w:p>
        </w:tc>
      </w:tr>
      <w:tr>
        <w:trPr>
          <w:trHeight w:val="193" w:hRule="atLeast"/>
        </w:trPr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>ОБ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>МУ «УГЗН»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5934,42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312,73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312,73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312,73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6872,61</w:t>
            </w:r>
          </w:p>
        </w:tc>
      </w:tr>
    </w:tbl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jc w:val="center"/>
        <w:rPr>
          <w:b/>
        </w:rPr>
      </w:pPr>
      <w:r>
        <w:rPr>
          <w:b/>
        </w:rPr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1276" w:right="1134" w:gutter="0" w:header="709" w:top="1418" w:footer="0" w:bottom="567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Open San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109e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d069e7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qFormat/>
    <w:rsid w:val="00cb03f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cb03f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cb03f9"/>
    <w:rPr>
      <w:rFonts w:ascii="Tahoma" w:hAnsi="Tahoma" w:eastAsia="Times New Roman" w:cs="Tahoma"/>
      <w:sz w:val="16"/>
      <w:szCs w:val="16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4005c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d069e7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Style17" w:customStyle="1">
    <w:name w:val="Текст сноски Знак"/>
    <w:basedOn w:val="DefaultParagraphFont"/>
    <w:uiPriority w:val="99"/>
    <w:qFormat/>
    <w:rsid w:val="00783c86"/>
    <w:rPr>
      <w:rFonts w:eastAsia="" w:cs="Times New Roman" w:eastAsiaTheme="minorEastAsia"/>
      <w:sz w:val="20"/>
      <w:szCs w:val="20"/>
      <w:lang w:eastAsia="ru-RU"/>
    </w:rPr>
  </w:style>
  <w:style w:type="character" w:styleId="Style18" w:customStyle="1">
    <w:name w:val="Символ сноски"/>
    <w:uiPriority w:val="99"/>
    <w:unhideWhenUsed/>
    <w:qFormat/>
    <w:rsid w:val="00783c86"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Style19" w:customStyle="1">
    <w:name w:val="Символ нумерации"/>
    <w:qFormat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3"/>
    <w:rsid w:val="00cb03f9"/>
    <w:pPr>
      <w:jc w:val="both"/>
    </w:pPr>
    <w:rPr>
      <w:sz w:val="20"/>
      <w:szCs w:val="20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Style22" w:customStyle="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rsid w:val="00cb03f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cb03f9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13140d"/>
    <w:pPr>
      <w:widowControl/>
      <w:suppressAutoHyphens w:val="true"/>
      <w:bidi w:val="0"/>
      <w:spacing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6"/>
      <w:szCs w:val="26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4b58fb"/>
    <w:pPr>
      <w:spacing w:before="0" w:after="0"/>
      <w:ind w:left="720"/>
      <w:contextualSpacing/>
    </w:pPr>
    <w:rPr/>
  </w:style>
  <w:style w:type="paragraph" w:styleId="Footer">
    <w:name w:val="footer"/>
    <w:basedOn w:val="Normal"/>
    <w:link w:val="Style16"/>
    <w:uiPriority w:val="99"/>
    <w:unhideWhenUsed/>
    <w:rsid w:val="004005c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7"/>
    <w:uiPriority w:val="99"/>
    <w:unhideWhenUsed/>
    <w:rsid w:val="00783c86"/>
    <w:pPr>
      <w:spacing w:lineRule="auto" w:line="259" w:before="0" w:after="160"/>
    </w:pPr>
    <w:rPr>
      <w:rFonts w:ascii="Calibri" w:hAnsi="Calibri" w:eastAsia="" w:asciiTheme="minorHAnsi" w:eastAsiaTheme="minorEastAsia" w:hAnsiTheme="minorHAnsi"/>
      <w:sz w:val="20"/>
      <w:szCs w:val="20"/>
    </w:rPr>
  </w:style>
  <w:style w:type="paragraph" w:styleId="Style23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4" w:customStyle="1">
    <w:name w:val="Заголовок таблицы"/>
    <w:basedOn w:val="Style23"/>
    <w:qFormat/>
    <w:pPr>
      <w:jc w:val="center"/>
    </w:pPr>
    <w:rPr>
      <w:b/>
      <w:bCs/>
    </w:rPr>
  </w:style>
  <w:style w:type="numbering" w:styleId="Style2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1"/>
    <w:uiPriority w:val="59"/>
    <w:rsid w:val="00445e1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B4DF9-BB65-47C8-99AF-29AE50FC3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2727</TotalTime>
  <Application>LibreOffice/24.8.4.2$Linux_X86_64 LibreOffice_project/480$Build-2</Application>
  <AppVersion>15.0000</AppVersion>
  <Pages>9</Pages>
  <Words>1584</Words>
  <Characters>8953</Characters>
  <CharactersWithSpaces>10238</CharactersWithSpaces>
  <Paragraphs>769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2024-10-04T08:23:00Z</dcterms:created>
  <dc:creator>n.babyrina</dc:creator>
  <dc:description/>
  <dc:language>ru-RU</dc:language>
  <cp:lastModifiedBy/>
  <cp:lastPrinted>2026-02-10T05:45:00Z</cp:lastPrinted>
  <dcterms:modified xsi:type="dcterms:W3CDTF">2026-02-19T09:36:07Z</dcterms:modified>
  <cp:revision>297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