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9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425"/>
        <w:gridCol w:w="5278"/>
      </w:tblGrid>
      <w:tr>
        <w:trPr/>
        <w:tc>
          <w:tcPr>
            <w:tcW w:w="10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>УТВЕРЖДЕН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>протоколом управляющего совета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>муниципальной программы «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4"/>
                <w:lang w:val="ru-RU" w:eastAsia="zh-CN" w:bidi="hi-IN"/>
              </w:rPr>
              <w:t>Модернизация объектов коммунальной инфраструктуры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>»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 xml:space="preserve">от 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u w:val="single"/>
                <w:lang w:val="ru-RU" w:eastAsia="zh-CN" w:bidi="hi-IN"/>
              </w:rPr>
              <w:t xml:space="preserve"> 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u w:val="single"/>
                <w:lang w:val="ru-RU" w:eastAsia="zh-CN" w:bidi="hi-IN"/>
              </w:rPr>
              <w:t xml:space="preserve">23.01.2026 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u w:val="single"/>
                <w:lang w:val="ru-RU" w:eastAsia="zh-CN" w:bidi="hi-IN"/>
              </w:rPr>
              <w:t xml:space="preserve">№  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u w:val="single"/>
                <w:lang w:val="ru-RU" w:eastAsia="zh-CN" w:bidi="hi-IN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108"/>
              <w:contextualSpacing/>
              <w:jc w:val="center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проекта  «Модернизация коммунальной инфраструктуры»</w:t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1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5"/>
        <w:gridCol w:w="4430"/>
        <w:gridCol w:w="1991"/>
        <w:gridCol w:w="1638"/>
        <w:gridCol w:w="2130"/>
      </w:tblGrid>
      <w:tr>
        <w:trPr>
          <w:trHeight w:val="798" w:hRule="atLeast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Краткое наименование проекта: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Модернизация коммунальной инфраструктуры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Срок реализации проекта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</w:tr>
      <w:tr>
        <w:trPr>
          <w:trHeight w:val="399" w:hRule="atLeast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numPr>
                <w:ilvl w:val="0"/>
                <w:numId w:val="0"/>
              </w:numPr>
              <w:spacing w:before="0" w:after="0"/>
              <w:contextualSpacing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Филиппов Александр Сергеевич</w:t>
            </w:r>
          </w:p>
        </w:tc>
        <w:tc>
          <w:tcPr>
            <w:tcW w:w="5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Заместитель Главы городского округа по жилищно-коммунальным вопросам</w:t>
            </w:r>
          </w:p>
        </w:tc>
      </w:tr>
      <w:tr>
        <w:trPr>
          <w:trHeight w:val="399" w:hRule="atLeast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проекта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Начальник управления городского хозяйства</w:t>
            </w:r>
          </w:p>
        </w:tc>
        <w:tc>
          <w:tcPr>
            <w:tcW w:w="5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Администрация Копейского городского округа, управление городского хозяйства (далее -УГХ)</w:t>
            </w:r>
          </w:p>
        </w:tc>
      </w:tr>
      <w:tr>
        <w:trPr>
          <w:trHeight w:val="198" w:hRule="atLeast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5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Модернизация объектов коммунальной инфраструктуры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 xml:space="preserve">2. Показатели проекта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609"/>
        <w:gridCol w:w="3549"/>
        <w:gridCol w:w="1167"/>
        <w:gridCol w:w="1102"/>
        <w:gridCol w:w="840"/>
        <w:gridCol w:w="927"/>
        <w:gridCol w:w="1099"/>
        <w:gridCol w:w="1101"/>
        <w:gridCol w:w="1099"/>
        <w:gridCol w:w="1164"/>
        <w:gridCol w:w="1013"/>
        <w:gridCol w:w="1068"/>
        <w:gridCol w:w="965"/>
      </w:tblGrid>
      <w:tr>
        <w:trPr>
          <w:trHeight w:val="369" w:hRule="atLeast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Показатели проекта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4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Нарастающий итог</w:t>
            </w:r>
          </w:p>
        </w:tc>
      </w:tr>
      <w:tr>
        <w:trPr>
          <w:trHeight w:val="547" w:hRule="atLeast"/>
        </w:trPr>
        <w:tc>
          <w:tcPr>
            <w:tcW w:w="6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0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133" w:hRule="atLeast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>
        <w:trPr>
          <w:trHeight w:val="133" w:hRule="atLeast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0"/>
              <w:ind w:left="57" w:righ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0"/>
              <w:ind w:left="57" w:right="57"/>
              <w:contextualSpacing/>
              <w:rPr/>
            </w:pPr>
            <w:r>
              <w:rPr>
                <w:sz w:val="22"/>
                <w:szCs w:val="22"/>
              </w:rPr>
              <w:t>Модернизация коммунальной инфраструктуры</w:t>
            </w:r>
          </w:p>
        </w:tc>
      </w:tr>
      <w:tr>
        <w:trPr>
          <w:trHeight w:val="534" w:hRule="atLeast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Количество завершенного строительства, реконструкции (модернизации), капитального ремонта объектов тепло-, водоснабжения и водоотведения, предусмотренных региональными комплексными планами.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ед.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Не возрастающий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>
      <w:pPr>
        <w:pStyle w:val="BodyText"/>
        <w:spacing w:before="0" w:after="0"/>
        <w:contextualSpacing/>
        <w:jc w:val="center"/>
        <w:rPr>
          <w:sz w:val="24"/>
        </w:rPr>
      </w:pPr>
      <w:r>
        <w:rPr>
          <w:sz w:val="24"/>
        </w:rPr>
      </w:r>
    </w:p>
    <w:p>
      <w:pPr>
        <w:pStyle w:val="BodyText"/>
        <w:spacing w:before="0" w:after="0"/>
        <w:contextualSpacing/>
        <w:jc w:val="center"/>
        <w:rPr>
          <w:sz w:val="24"/>
        </w:rPr>
      </w:pPr>
      <w:r>
        <w:rPr>
          <w:sz w:val="24"/>
        </w:rPr>
      </w:r>
    </w:p>
    <w:p>
      <w:pPr>
        <w:pStyle w:val="BodyText"/>
        <w:spacing w:before="0" w:after="0"/>
        <w:contextualSpacing/>
        <w:jc w:val="center"/>
        <w:rPr>
          <w:sz w:val="24"/>
        </w:rPr>
      </w:pPr>
      <w:r>
        <w:rPr>
          <w:sz w:val="24"/>
        </w:rPr>
        <w:t>3. План достижения показателей проекта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3"/>
        <w:gridCol w:w="5720"/>
        <w:gridCol w:w="1135"/>
        <w:gridCol w:w="677"/>
        <w:gridCol w:w="699"/>
        <w:gridCol w:w="738"/>
        <w:gridCol w:w="677"/>
        <w:gridCol w:w="700"/>
        <w:gridCol w:w="567"/>
        <w:gridCol w:w="622"/>
        <w:gridCol w:w="510"/>
        <w:gridCol w:w="509"/>
        <w:gridCol w:w="586"/>
        <w:gridCol w:w="680"/>
        <w:gridCol w:w="1321"/>
      </w:tblGrid>
      <w:tr>
        <w:trPr>
          <w:trHeight w:val="300" w:hRule="atLeast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Показатели проекта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9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 конец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отчетного периода</w:t>
            </w:r>
          </w:p>
        </w:tc>
      </w:tr>
      <w:tr>
        <w:trPr>
          <w:trHeight w:val="177" w:hRule="atLeast"/>
        </w:trPr>
        <w:tc>
          <w:tcPr>
            <w:tcW w:w="56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>
        <w:trPr>
          <w:trHeight w:val="233" w:hRule="atLeast"/>
        </w:trPr>
        <w:tc>
          <w:tcPr>
            <w:tcW w:w="15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>
            <w:pPr>
              <w:pStyle w:val="Normal"/>
              <w:spacing w:before="0" w:after="57"/>
              <w:ind w:left="113" w:right="113"/>
              <w:jc w:val="center"/>
              <w:rPr/>
            </w:pPr>
            <w:r>
              <w:rPr/>
              <w:t>2025 год</w:t>
            </w:r>
          </w:p>
        </w:tc>
      </w:tr>
      <w:tr>
        <w:trPr>
          <w:trHeight w:val="233" w:hRule="atLeast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>
            <w:pPr>
              <w:pStyle w:val="Normal"/>
              <w:spacing w:before="0" w:after="57"/>
              <w:ind w:left="113" w:right="113"/>
              <w:rPr/>
            </w:pPr>
            <w:r>
              <w:rPr>
                <w:sz w:val="22"/>
                <w:szCs w:val="22"/>
              </w:rPr>
              <w:t>Модернизация коммунальной инфраструктуры</w:t>
            </w:r>
          </w:p>
        </w:tc>
      </w:tr>
      <w:tr>
        <w:trPr>
          <w:trHeight w:val="275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Количество завершенного строительства, реконструкции (модернизации), капитального ремонта объектов тепло-, водоснабжения и водоотведения, предусмотренных региональными комплексными планами.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</w:tr>
      <w:tr>
        <w:trPr>
          <w:trHeight w:val="275" w:hRule="atLeast"/>
        </w:trPr>
        <w:tc>
          <w:tcPr>
            <w:tcW w:w="1570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>
            <w:pPr>
              <w:pStyle w:val="Normal"/>
              <w:spacing w:before="0" w:after="57"/>
              <w:ind w:left="113" w:right="113"/>
              <w:rPr/>
            </w:pPr>
            <w:r>
              <w:rPr>
                <w:sz w:val="22"/>
                <w:szCs w:val="22"/>
              </w:rPr>
              <w:t>Модернизация коммунальной инфраструктуры</w:t>
            </w:r>
          </w:p>
        </w:tc>
      </w:tr>
      <w:tr>
        <w:trPr>
          <w:trHeight w:val="275" w:hRule="atLeast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>
            <w:pPr>
              <w:pStyle w:val="Normal"/>
              <w:spacing w:lineRule="atLeast" w:line="240" w:before="0" w:after="0"/>
              <w:contextualSpacing/>
              <w:rPr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Количество завершенного строительства, реконструкции (модернизации), капитального ремонта объектов тепло-, водоснабжения и водоотведения, предусмотренных региональными комплексными планами.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  <w:t>4. Мероприятия (результаты) проекта</w:t>
      </w:r>
    </w:p>
    <w:tbl>
      <w:tblPr>
        <w:tblStyle w:val="af9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6"/>
        <w:gridCol w:w="2197"/>
        <w:gridCol w:w="1818"/>
        <w:gridCol w:w="2127"/>
        <w:gridCol w:w="785"/>
        <w:gridCol w:w="956"/>
        <w:gridCol w:w="957"/>
        <w:gridCol w:w="1234"/>
        <w:gridCol w:w="977"/>
        <w:gridCol w:w="958"/>
        <w:gridCol w:w="1075"/>
        <w:gridCol w:w="1012"/>
        <w:gridCol w:w="1141"/>
      </w:tblGrid>
      <w:tr>
        <w:trPr/>
        <w:tc>
          <w:tcPr>
            <w:tcW w:w="46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№ 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п/п</w:t>
            </w:r>
          </w:p>
        </w:tc>
        <w:tc>
          <w:tcPr>
            <w:tcW w:w="219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Наименование мероприятия (результата)</w:t>
            </w:r>
          </w:p>
        </w:tc>
        <w:tc>
          <w:tcPr>
            <w:tcW w:w="181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Тип мероприятия (результата)</w:t>
            </w:r>
          </w:p>
        </w:tc>
        <w:tc>
          <w:tcPr>
            <w:tcW w:w="212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Характеристика мероприятия (результата)</w:t>
            </w:r>
          </w:p>
        </w:tc>
        <w:tc>
          <w:tcPr>
            <w:tcW w:w="785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60"/>
              <w:ind w:left="57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Единица измерения</w:t>
            </w:r>
          </w:p>
        </w:tc>
        <w:tc>
          <w:tcPr>
            <w:tcW w:w="95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2024</w:t>
            </w:r>
          </w:p>
        </w:tc>
        <w:tc>
          <w:tcPr>
            <w:tcW w:w="6213" w:type="dxa"/>
            <w:gridSpan w:val="6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Значение показателя по годам</w:t>
            </w:r>
          </w:p>
        </w:tc>
        <w:tc>
          <w:tcPr>
            <w:tcW w:w="114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Связь с показателями регионального проекта</w:t>
            </w:r>
          </w:p>
        </w:tc>
      </w:tr>
      <w:tr>
        <w:trPr/>
        <w:tc>
          <w:tcPr>
            <w:tcW w:w="46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219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81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212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785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95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957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2025</w:t>
            </w:r>
          </w:p>
        </w:tc>
        <w:tc>
          <w:tcPr>
            <w:tcW w:w="1234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2026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2027</w:t>
            </w:r>
          </w:p>
        </w:tc>
        <w:tc>
          <w:tcPr>
            <w:tcW w:w="958" w:type="dxa"/>
            <w:tcBorders>
              <w:right w:val="nil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2028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2029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2030</w:t>
            </w:r>
          </w:p>
        </w:tc>
        <w:tc>
          <w:tcPr>
            <w:tcW w:w="114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</w:t>
            </w:r>
          </w:p>
        </w:tc>
        <w:tc>
          <w:tcPr>
            <w:tcW w:w="219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2</w:t>
            </w:r>
          </w:p>
        </w:tc>
        <w:tc>
          <w:tcPr>
            <w:tcW w:w="181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4</w:t>
            </w:r>
          </w:p>
        </w:tc>
        <w:tc>
          <w:tcPr>
            <w:tcW w:w="78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5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6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7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8</w:t>
            </w:r>
          </w:p>
        </w:tc>
        <w:tc>
          <w:tcPr>
            <w:tcW w:w="97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9</w:t>
            </w:r>
          </w:p>
        </w:tc>
        <w:tc>
          <w:tcPr>
            <w:tcW w:w="958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10</w:t>
            </w:r>
          </w:p>
        </w:tc>
        <w:tc>
          <w:tcPr>
            <w:tcW w:w="10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11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12</w:t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13</w:t>
            </w:r>
          </w:p>
        </w:tc>
      </w:tr>
      <w:tr>
        <w:trPr/>
        <w:tc>
          <w:tcPr>
            <w:tcW w:w="15703" w:type="dxa"/>
            <w:gridSpan w:val="13"/>
            <w:tcBorders/>
          </w:tcPr>
          <w:p>
            <w:pPr>
              <w:pStyle w:val="Normal"/>
              <w:widowControl/>
              <w:suppressAutoHyphens w:val="true"/>
              <w:spacing w:before="0" w:after="57"/>
              <w:ind w:left="113" w:right="113"/>
              <w:jc w:val="left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1. Модернизация коммунальной инфраструктуры</w:t>
            </w:r>
          </w:p>
        </w:tc>
      </w:tr>
      <w:tr>
        <w:trPr/>
        <w:tc>
          <w:tcPr>
            <w:tcW w:w="46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</w:t>
            </w:r>
          </w:p>
        </w:tc>
        <w:tc>
          <w:tcPr>
            <w:tcW w:w="2197" w:type="dxa"/>
            <w:tcBorders/>
          </w:tcPr>
          <w:p>
            <w:pPr>
              <w:pStyle w:val="Normal"/>
              <w:widowControl/>
              <w:suppressAutoHyphens w:val="true"/>
              <w:spacing w:before="0" w:after="57"/>
              <w:ind w:left="113" w:right="113"/>
              <w:jc w:val="left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8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0" w:leader="none"/>
                <w:tab w:val="left" w:pos="10080" w:leader="none"/>
              </w:tabs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bCs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Приобретение товаров, работ, услуг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Количество завершенного строительства, реконструкции (модернизации), капитального ремонта объектов тепло-, водоснабжения и водоотведения, предусмотренных региональными комплексными планами.</w:t>
            </w:r>
          </w:p>
        </w:tc>
        <w:tc>
          <w:tcPr>
            <w:tcW w:w="785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ед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97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</w:t>
            </w:r>
          </w:p>
        </w:tc>
        <w:tc>
          <w:tcPr>
            <w:tcW w:w="958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</w:t>
            </w:r>
          </w:p>
        </w:tc>
        <w:tc>
          <w:tcPr>
            <w:tcW w:w="107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0</w:t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-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5. Финансовое обеспечение проекта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7"/>
        <w:gridCol w:w="4899"/>
        <w:gridCol w:w="1652"/>
        <w:gridCol w:w="1181"/>
        <w:gridCol w:w="1313"/>
        <w:gridCol w:w="1424"/>
        <w:gridCol w:w="1294"/>
        <w:gridCol w:w="1038"/>
        <w:gridCol w:w="1008"/>
        <w:gridCol w:w="1356"/>
      </w:tblGrid>
      <w:tr>
        <w:trPr>
          <w:trHeight w:val="303" w:hRule="atLeast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8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5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</w:tr>
      <w:tr>
        <w:trPr>
          <w:trHeight w:val="143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143" w:hRule="atLeast"/>
        </w:trPr>
        <w:tc>
          <w:tcPr>
            <w:tcW w:w="157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57"/>
              <w:ind w:left="113" w:right="113"/>
              <w:rPr>
                <w:szCs w:val="22"/>
              </w:rPr>
            </w:pPr>
            <w:r>
              <w:rPr>
                <w:sz w:val="22"/>
                <w:szCs w:val="22"/>
              </w:rPr>
              <w:t>1. Модернизация коммунальной инфраструктуры</w:t>
            </w:r>
          </w:p>
        </w:tc>
      </w:tr>
      <w:tr>
        <w:trPr>
          <w:trHeight w:val="193" w:hRule="atLeast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57"/>
              <w:ind w:left="113" w:right="113"/>
              <w:rPr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5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57"/>
              <w:ind w:left="113" w:right="113"/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Всего, в т.ч.:</w:t>
            </w:r>
          </w:p>
        </w:tc>
        <w:tc>
          <w:tcPr>
            <w:tcW w:w="16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=F7+F8+F9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41875,84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=G7+G8+G9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64197,32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=E6+F6+G6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106073,16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5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26189,73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39722,77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=E7+F7+G7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65912,5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5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15644,23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24410,35</w:t>
            </w:r>
          </w:p>
        </w:tc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=E8+F8+G8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40054,58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5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41,88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64,20</w:t>
            </w:r>
          </w:p>
        </w:tc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=E9+F9+G9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106,08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>
      <w:pPr>
        <w:pStyle w:val="Normal"/>
        <w:spacing w:lineRule="auto" w:line="276"/>
        <w:ind w:left="360"/>
        <w:jc w:val="center"/>
        <w:rPr>
          <w:szCs w:val="24"/>
        </w:rPr>
      </w:pPr>
      <w:r>
        <w:rPr>
          <w:szCs w:val="24"/>
        </w:rPr>
        <w:t>6. План реализации проекта</w:t>
      </w:r>
    </w:p>
    <w:tbl>
      <w:tblPr>
        <w:tblStyle w:val="af9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8"/>
        <w:gridCol w:w="4661"/>
        <w:gridCol w:w="1124"/>
        <w:gridCol w:w="2037"/>
        <w:gridCol w:w="1801"/>
        <w:gridCol w:w="3075"/>
        <w:gridCol w:w="1977"/>
      </w:tblGrid>
      <w:tr>
        <w:trPr/>
        <w:tc>
          <w:tcPr>
            <w:tcW w:w="102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п/п</w:t>
            </w:r>
          </w:p>
        </w:tc>
        <w:tc>
          <w:tcPr>
            <w:tcW w:w="466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Наименование мероприятия (результата),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контрольной точки</w:t>
            </w:r>
          </w:p>
        </w:tc>
        <w:tc>
          <w:tcPr>
            <w:tcW w:w="31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Срок реализации</w:t>
            </w:r>
          </w:p>
        </w:tc>
        <w:tc>
          <w:tcPr>
            <w:tcW w:w="18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Ответственный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исполнитель</w:t>
            </w:r>
          </w:p>
        </w:tc>
        <w:tc>
          <w:tcPr>
            <w:tcW w:w="307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Адрес объекта</w:t>
            </w:r>
          </w:p>
        </w:tc>
        <w:tc>
          <w:tcPr>
            <w:tcW w:w="197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Вид подтверждающего документа</w:t>
            </w:r>
          </w:p>
        </w:tc>
      </w:tr>
      <w:tr>
        <w:trPr/>
        <w:tc>
          <w:tcPr>
            <w:tcW w:w="102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466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1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начало</w:t>
            </w:r>
          </w:p>
        </w:tc>
        <w:tc>
          <w:tcPr>
            <w:tcW w:w="20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конец</w:t>
            </w:r>
          </w:p>
        </w:tc>
        <w:tc>
          <w:tcPr>
            <w:tcW w:w="18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307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97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</w:tr>
      <w:tr>
        <w:trPr/>
        <w:tc>
          <w:tcPr>
            <w:tcW w:w="102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</w:t>
            </w:r>
          </w:p>
        </w:tc>
        <w:tc>
          <w:tcPr>
            <w:tcW w:w="466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2</w:t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3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4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5</w:t>
            </w:r>
          </w:p>
        </w:tc>
        <w:tc>
          <w:tcPr>
            <w:tcW w:w="30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6</w:t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7</w:t>
            </w:r>
          </w:p>
        </w:tc>
      </w:tr>
      <w:tr>
        <w:trPr/>
        <w:tc>
          <w:tcPr>
            <w:tcW w:w="15703" w:type="dxa"/>
            <w:gridSpan w:val="7"/>
            <w:tcBorders/>
          </w:tcPr>
          <w:p>
            <w:pPr>
              <w:pStyle w:val="Normal"/>
              <w:widowControl/>
              <w:suppressAutoHyphens w:val="true"/>
              <w:spacing w:before="57" w:after="0"/>
              <w:ind w:left="113" w:right="113"/>
              <w:jc w:val="left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1. Модернизация коммунальной инфраструктуры</w:t>
            </w:r>
          </w:p>
        </w:tc>
      </w:tr>
      <w:tr>
        <w:trPr/>
        <w:tc>
          <w:tcPr>
            <w:tcW w:w="102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4661" w:type="dxa"/>
            <w:tcBorders/>
          </w:tcPr>
          <w:p>
            <w:pPr>
              <w:pStyle w:val="Normal"/>
              <w:widowControl/>
              <w:suppressAutoHyphens w:val="true"/>
              <w:spacing w:before="0" w:after="57"/>
              <w:ind w:left="113" w:right="113"/>
              <w:jc w:val="left"/>
              <w:rPr>
                <w:rFonts w:eastAsia="Droid Sans Fallback" w:cs="Lohit Devanagari"/>
                <w:color w:val="000000"/>
                <w:kern w:val="0"/>
                <w:szCs w:val="20"/>
                <w:lang w:val="ru-RU" w:eastAsia="zh-CN" w:bidi="hi-IN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307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</w:tr>
      <w:tr>
        <w:trPr/>
        <w:tc>
          <w:tcPr>
            <w:tcW w:w="102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1.1.</w:t>
            </w:r>
          </w:p>
        </w:tc>
        <w:tc>
          <w:tcPr>
            <w:tcW w:w="46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Разработка проектной документации и получение госэкспертизы</w:t>
            </w:r>
          </w:p>
        </w:tc>
        <w:tc>
          <w:tcPr>
            <w:tcW w:w="112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>Январь 2026</w:t>
            </w:r>
          </w:p>
        </w:tc>
        <w:tc>
          <w:tcPr>
            <w:tcW w:w="203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0"/>
                <w:lang w:val="ru-RU" w:eastAsia="zh-CN" w:bidi="hi-IN"/>
              </w:rPr>
              <w:t>май 2026</w:t>
            </w:r>
          </w:p>
        </w:tc>
        <w:tc>
          <w:tcPr>
            <w:tcW w:w="1801" w:type="dxa"/>
            <w:vMerge w:val="restart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contextualSpacing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УГХ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3075" w:type="dxa"/>
            <w:vMerge w:val="restart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Челябинская область, Копейский городской округ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97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0080" w:leader="none"/>
              </w:tabs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проект</w:t>
            </w:r>
          </w:p>
        </w:tc>
      </w:tr>
      <w:tr>
        <w:trPr/>
        <w:tc>
          <w:tcPr>
            <w:tcW w:w="102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1.1.К.1.</w:t>
            </w:r>
          </w:p>
        </w:tc>
        <w:tc>
          <w:tcPr>
            <w:tcW w:w="4661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Положительное заключение государственной экспертизы на проектно-сметную документацию</w:t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май 2026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июль 2026</w:t>
            </w:r>
          </w:p>
        </w:tc>
        <w:tc>
          <w:tcPr>
            <w:tcW w:w="1801" w:type="dxa"/>
            <w:vMerge w:val="continue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3075" w:type="dxa"/>
            <w:vMerge w:val="continue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заключение госэкспертизы</w:t>
            </w:r>
          </w:p>
        </w:tc>
      </w:tr>
      <w:tr>
        <w:trPr/>
        <w:tc>
          <w:tcPr>
            <w:tcW w:w="102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1.2.</w:t>
            </w:r>
          </w:p>
        </w:tc>
        <w:tc>
          <w:tcPr>
            <w:tcW w:w="4661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contextualSpacing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строительство, реконструкция (модернизация), капитальный ремонт объектов тепло-, водоснабжения и водоотведения,</w:t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август 2026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ноябрь 2026</w:t>
            </w:r>
          </w:p>
        </w:tc>
        <w:tc>
          <w:tcPr>
            <w:tcW w:w="1801" w:type="dxa"/>
            <w:vMerge w:val="continue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3075" w:type="dxa"/>
            <w:vMerge w:val="continue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Акт выполненных работ</w:t>
            </w:r>
          </w:p>
        </w:tc>
      </w:tr>
      <w:tr>
        <w:trPr/>
        <w:tc>
          <w:tcPr>
            <w:tcW w:w="102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1.2.К.1.</w:t>
            </w:r>
          </w:p>
        </w:tc>
        <w:tc>
          <w:tcPr>
            <w:tcW w:w="4661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both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Запуск объектов </w:t>
            </w: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u w:val="none" w:color="000000"/>
                <w:lang w:val="ru-RU" w:eastAsia="zh-CN" w:bidi="hi-IN"/>
              </w:rPr>
              <w:t>завершенного строительство, реконструкции (модернизации), капитального ремонта объектов тепло-, водоснабжения и водоотведения</w:t>
            </w:r>
          </w:p>
        </w:tc>
        <w:tc>
          <w:tcPr>
            <w:tcW w:w="112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декабрь 2026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31.12.2026</w:t>
            </w:r>
          </w:p>
        </w:tc>
        <w:tc>
          <w:tcPr>
            <w:tcW w:w="1801" w:type="dxa"/>
            <w:vMerge w:val="continue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3075" w:type="dxa"/>
            <w:vMerge w:val="continue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Cs w:val="22"/>
                <w:lang w:val="ru-RU" w:eastAsia="zh-CN" w:bidi="hi-IN"/>
              </w:rPr>
            </w:r>
          </w:p>
        </w:tc>
        <w:tc>
          <w:tcPr>
            <w:tcW w:w="197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left"/>
              <w:rPr>
                <w:szCs w:val="22"/>
              </w:rPr>
            </w:pPr>
            <w:r>
              <w:rPr>
                <w:rFonts w:eastAsia="Droid Sans Fallback" w:cs="Lohit Devanagari"/>
                <w:color w:val="000000"/>
                <w:kern w:val="0"/>
                <w:sz w:val="22"/>
                <w:szCs w:val="22"/>
                <w:lang w:val="ru-RU" w:eastAsia="zh-CN" w:bidi="hi-IN"/>
              </w:rPr>
              <w:t>Акт ввода объекта в эксплуатацию</w:t>
            </w:r>
          </w:p>
        </w:tc>
      </w:tr>
    </w:tbl>
    <w:p>
      <w:pPr>
        <w:pStyle w:val="Normal"/>
        <w:ind w:left="360"/>
        <w:rPr/>
      </w:pPr>
      <w:r>
        <w:rPr/>
      </w:r>
    </w:p>
    <w:sectPr>
      <w:type w:val="nextPage"/>
      <w:pgSz w:orient="landscape" w:w="16838" w:h="11906"/>
      <w:pgMar w:left="567" w:right="567" w:gutter="0" w:header="0" w:top="1701" w:footer="0" w:bottom="567"/>
      <w:pgNumType w:start="33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XO Thames">
    <w:charset w:val="01"/>
    <w:family w:val="roman"/>
    <w:pitch w:val="default"/>
  </w:font>
  <w:font w:name="Tahoma">
    <w:charset w:val="01"/>
    <w:family w:val="swiss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Lohit Devanagari" w:asciiTheme="minorHAns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asciiTheme="majorHAnsi" w:hAnsiTheme="majorHAnsi"/>
      <w:b/>
      <w:color w:themeColor="accent1" w:themeShade="bf" w:val="365F91"/>
      <w:sz w:val="28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1"/>
    </w:pPr>
    <w:rPr>
      <w:rFonts w:ascii="XO Thames" w:hAnsi="XO Thames" w:eastAsia="Droid Sans Fallback" w:cs="Lohit Devanagari"/>
      <w:b/>
      <w:color w:val="00000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2"/>
    </w:pPr>
    <w:rPr>
      <w:rFonts w:ascii="XO Thames" w:hAnsi="XO Thames" w:eastAsia="Droid Sans Fallback" w:cs="Lohit Devanagari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Droid Sans Fallback" w:cs="Lohit Devanagari"/>
      <w:b/>
      <w:color w:val="00000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Droid Sans Fallback" w:cs="Lohit Devanagari"/>
      <w:b/>
      <w:color w:val="00000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tents2" w:customStyle="1">
    <w:name w:val="Contents 2"/>
    <w:qFormat/>
    <w:rPr>
      <w:rFonts w:ascii="XO Thames" w:hAnsi="XO Thames"/>
      <w:sz w:val="28"/>
    </w:rPr>
  </w:style>
  <w:style w:type="character" w:styleId="Contents4" w:customStyle="1">
    <w:name w:val="Contents 4"/>
    <w:qFormat/>
    <w:rPr>
      <w:rFonts w:ascii="XO Thames" w:hAnsi="XO Thames"/>
      <w:sz w:val="28"/>
    </w:rPr>
  </w:style>
  <w:style w:type="character" w:styleId="Contents6" w:customStyle="1">
    <w:name w:val="Contents 6"/>
    <w:qFormat/>
    <w:rPr>
      <w:rFonts w:ascii="XO Thames" w:hAnsi="XO Thames"/>
      <w:sz w:val="28"/>
    </w:rPr>
  </w:style>
  <w:style w:type="character" w:styleId="Contents7" w:customStyle="1">
    <w:name w:val="Contents 7"/>
    <w:qFormat/>
    <w:rPr>
      <w:rFonts w:ascii="XO Thames" w:hAnsi="XO Thames"/>
      <w:sz w:val="28"/>
    </w:rPr>
  </w:style>
  <w:style w:type="character" w:styleId="1" w:customStyle="1">
    <w:name w:val="Текст выноски1"/>
    <w:link w:val="BalloonText1"/>
    <w:qFormat/>
    <w:rPr>
      <w:rFonts w:ascii="Tahoma" w:hAnsi="Tahoma"/>
      <w:sz w:val="16"/>
    </w:rPr>
  </w:style>
  <w:style w:type="character" w:styleId="Style9" w:customStyle="1">
    <w:name w:val="Верхний колонтитул Знак"/>
    <w:basedOn w:val="DefaultParagraphFont"/>
    <w:link w:val="15"/>
    <w:qFormat/>
    <w:rPr>
      <w:rFonts w:ascii="Times New Roman" w:hAnsi="Times New Roman"/>
      <w:sz w:val="24"/>
    </w:rPr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Heading31" w:customStyle="1">
    <w:name w:val="Heading 31"/>
    <w:qFormat/>
    <w:rPr>
      <w:rFonts w:ascii="XO Thames" w:hAnsi="XO Thames"/>
      <w:b/>
      <w:sz w:val="26"/>
    </w:rPr>
  </w:style>
  <w:style w:type="character" w:styleId="Textbody" w:customStyle="1">
    <w:name w:val="Text body"/>
    <w:qFormat/>
    <w:rPr>
      <w:sz w:val="20"/>
    </w:rPr>
  </w:style>
  <w:style w:type="character" w:styleId="Style10" w:customStyle="1">
    <w:name w:val="Колонтитул"/>
    <w:link w:val="16"/>
    <w:qFormat/>
    <w:rPr/>
  </w:style>
  <w:style w:type="character" w:styleId="ConsPlusNormal" w:customStyle="1">
    <w:name w:val="ConsPlusNormal"/>
    <w:link w:val="ConsPlusNormal1"/>
    <w:qFormat/>
    <w:rPr>
      <w:rFonts w:ascii="Times New Roman" w:hAnsi="Times New Roman"/>
      <w:color w:val="000000"/>
      <w:sz w:val="26"/>
    </w:rPr>
  </w:style>
  <w:style w:type="character" w:styleId="Style11" w:customStyle="1">
    <w:name w:val="Символ концевой сноски"/>
    <w:link w:val="17"/>
    <w:qFormat/>
    <w:rPr>
      <w:vertAlign w:val="superscript"/>
    </w:rPr>
  </w:style>
  <w:style w:type="character" w:styleId="11" w:customStyle="1">
    <w:name w:val="Заголовок1"/>
    <w:link w:val="111"/>
    <w:qFormat/>
    <w:rPr>
      <w:rFonts w:ascii="Open Sans" w:hAnsi="Open Sans"/>
      <w:sz w:val="28"/>
    </w:rPr>
  </w:style>
  <w:style w:type="character" w:styleId="12" w:customStyle="1">
    <w:name w:val="Указатель1"/>
    <w:link w:val="112"/>
    <w:qFormat/>
    <w:rPr/>
  </w:style>
  <w:style w:type="character" w:styleId="13" w:customStyle="1">
    <w:name w:val="Заголовок 1 Знак"/>
    <w:basedOn w:val="DefaultParagraphFont"/>
    <w:link w:val="113"/>
    <w:qFormat/>
    <w:rPr>
      <w:rFonts w:ascii="Cambria" w:hAnsi="Cambria" w:asciiTheme="majorHAnsi" w:hAnsiTheme="majorHAnsi"/>
      <w:b/>
      <w:color w:themeColor="accent1" w:themeShade="bf" w:val="365F91"/>
      <w:sz w:val="28"/>
    </w:rPr>
  </w:style>
  <w:style w:type="character" w:styleId="Contents3" w:customStyle="1">
    <w:name w:val="Contents 3"/>
    <w:qFormat/>
    <w:rPr>
      <w:rFonts w:ascii="XO Thames" w:hAnsi="XO Thames"/>
      <w:sz w:val="28"/>
    </w:rPr>
  </w:style>
  <w:style w:type="character" w:styleId="Style12" w:customStyle="1">
    <w:name w:val="Заголовок таблицы"/>
    <w:basedOn w:val="Style16"/>
    <w:link w:val="19"/>
    <w:qFormat/>
    <w:rPr>
      <w:b/>
    </w:rPr>
  </w:style>
  <w:style w:type="character" w:styleId="Style13" w:customStyle="1">
    <w:name w:val="Символ сноски"/>
    <w:link w:val="110"/>
    <w:qFormat/>
    <w:rPr>
      <w:vertAlign w:val="superscript"/>
    </w:rPr>
  </w:style>
  <w:style w:type="character" w:styleId="Heading51" w:customStyle="1">
    <w:name w:val="Heading 51"/>
    <w:qFormat/>
    <w:rPr>
      <w:rFonts w:ascii="XO Thames" w:hAnsi="XO Thames"/>
      <w:b/>
      <w:sz w:val="22"/>
    </w:rPr>
  </w:style>
  <w:style w:type="character" w:styleId="Heading11" w:customStyle="1">
    <w:name w:val="Heading 11"/>
    <w:qFormat/>
    <w:rPr>
      <w:rFonts w:ascii="Cambria" w:hAnsi="Cambria" w:asciiTheme="majorHAnsi" w:hAnsiTheme="majorHAnsi"/>
      <w:b/>
      <w:color w:themeColor="accent1" w:themeShade="bf" w:val="365F91"/>
      <w:sz w:val="28"/>
    </w:rPr>
  </w:style>
  <w:style w:type="character" w:styleId="Footer1" w:customStyle="1">
    <w:name w:val="Footer1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Calibri" w:hAnsi="Calibri" w:asciiTheme="minorHAnsi" w:hAnsiTheme="minorHAnsi"/>
      <w:sz w:val="20"/>
    </w:rPr>
  </w:style>
  <w:style w:type="character" w:styleId="Style14" w:customStyle="1">
    <w:name w:val="Нижний колонтитул Знак"/>
    <w:basedOn w:val="DefaultParagraphFont"/>
    <w:link w:val="115"/>
    <w:qFormat/>
    <w:rPr>
      <w:rFonts w:ascii="Times New Roman" w:hAnsi="Times New Roman"/>
      <w:sz w:val="24"/>
    </w:rPr>
  </w:style>
  <w:style w:type="character" w:styleId="Contents1" w:customStyle="1">
    <w:name w:val="Contents 1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Style15" w:customStyle="1">
    <w:name w:val="Основной текст Знак"/>
    <w:basedOn w:val="DefaultParagraphFont"/>
    <w:link w:val="116"/>
    <w:qFormat/>
    <w:rPr>
      <w:rFonts w:ascii="Times New Roman" w:hAnsi="Times New Roman"/>
      <w:sz w:val="20"/>
    </w:rPr>
  </w:style>
  <w:style w:type="character" w:styleId="Contents9" w:customStyle="1">
    <w:name w:val="Contents 9"/>
    <w:qFormat/>
    <w:rPr>
      <w:rFonts w:ascii="XO Thames" w:hAnsi="XO Thames"/>
      <w:sz w:val="28"/>
    </w:rPr>
  </w:style>
  <w:style w:type="character" w:styleId="14" w:customStyle="1">
    <w:name w:val="Абзац списка1"/>
    <w:link w:val="ListParagraph1"/>
    <w:qFormat/>
    <w:rPr/>
  </w:style>
  <w:style w:type="character" w:styleId="Contents8" w:customStyle="1">
    <w:name w:val="Contents 8"/>
    <w:qFormat/>
    <w:rPr>
      <w:rFonts w:ascii="XO Thames" w:hAnsi="XO Thames"/>
      <w:sz w:val="28"/>
    </w:rPr>
  </w:style>
  <w:style w:type="character" w:styleId="FootnoteReference">
    <w:name w:val="footnote reference"/>
    <w:rPr>
      <w:vertAlign w:val="superscript"/>
    </w:rPr>
  </w:style>
  <w:style w:type="character" w:styleId="Contents5" w:customStyle="1">
    <w:name w:val="Contents 5"/>
    <w:qFormat/>
    <w:rPr>
      <w:rFonts w:ascii="XO Thames" w:hAnsi="XO Thames"/>
      <w:sz w:val="28"/>
    </w:rPr>
  </w:style>
  <w:style w:type="character" w:styleId="Style16" w:customStyle="1">
    <w:name w:val="Содержимое таблицы"/>
    <w:link w:val="18"/>
    <w:qFormat/>
    <w:rPr/>
  </w:style>
  <w:style w:type="character" w:styleId="Header1" w:customStyle="1">
    <w:name w:val="Header1"/>
    <w:qFormat/>
    <w:rPr/>
  </w:style>
  <w:style w:type="character" w:styleId="Subtitle1" w:customStyle="1">
    <w:name w:val="Subtitle1"/>
    <w:qFormat/>
    <w:rPr>
      <w:rFonts w:ascii="XO Thames" w:hAnsi="XO Thames"/>
      <w:i/>
      <w:sz w:val="24"/>
    </w:rPr>
  </w:style>
  <w:style w:type="character" w:styleId="EndnoteReference">
    <w:name w:val="endnote reference"/>
    <w:rPr>
      <w:vertAlign w:val="superscript"/>
    </w:rPr>
  </w:style>
  <w:style w:type="character" w:styleId="List1" w:customStyle="1">
    <w:name w:val="List1"/>
    <w:basedOn w:val="Textbody"/>
    <w:qFormat/>
    <w:rPr>
      <w:sz w:val="20"/>
    </w:rPr>
  </w:style>
  <w:style w:type="character" w:styleId="Title1" w:customStyle="1">
    <w:name w:val="Title1"/>
    <w:qFormat/>
    <w:rPr>
      <w:rFonts w:ascii="XO Thames" w:hAnsi="XO Thames"/>
      <w:b/>
      <w:caps/>
      <w:sz w:val="40"/>
    </w:rPr>
  </w:style>
  <w:style w:type="character" w:styleId="Heading41" w:customStyle="1">
    <w:name w:val="Heading 41"/>
    <w:qFormat/>
    <w:rPr>
      <w:rFonts w:ascii="XO Thames" w:hAnsi="XO Thames"/>
      <w:b/>
      <w:sz w:val="24"/>
    </w:rPr>
  </w:style>
  <w:style w:type="character" w:styleId="Caption1" w:customStyle="1">
    <w:name w:val="Caption1"/>
    <w:qFormat/>
    <w:rPr>
      <w:i/>
      <w:sz w:val="24"/>
    </w:rPr>
  </w:style>
  <w:style w:type="character" w:styleId="Heading21" w:customStyle="1">
    <w:name w:val="Heading 21"/>
    <w:qFormat/>
    <w:rPr>
      <w:rFonts w:ascii="XO Thames" w:hAnsi="XO Thames"/>
      <w:b/>
      <w:sz w:val="28"/>
    </w:rPr>
  </w:style>
  <w:style w:type="character" w:styleId="Style17" w:customStyle="1">
    <w:name w:val="Текст сноски Знак"/>
    <w:basedOn w:val="DefaultParagraphFont"/>
    <w:link w:val="117"/>
    <w:qFormat/>
    <w:rPr>
      <w:sz w:val="20"/>
    </w:rPr>
  </w:style>
  <w:style w:type="paragraph" w:styleId="Style18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0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111" w:customStyle="1">
    <w:name w:val="Заголовок11"/>
    <w:basedOn w:val="Normal"/>
    <w:next w:val="BodyText"/>
    <w:link w:val="11"/>
    <w:qFormat/>
    <w:pPr>
      <w:keepNext w:val="true"/>
      <w:spacing w:before="240" w:after="120"/>
    </w:pPr>
    <w:rPr>
      <w:rFonts w:ascii="Open Sans" w:hAnsi="Open Sans"/>
      <w:sz w:val="28"/>
    </w:rPr>
  </w:style>
  <w:style w:type="paragraph" w:styleId="caption2" w:customStyle="1">
    <w:name w:val="caption2"/>
    <w:basedOn w:val="Normal"/>
    <w:qFormat/>
    <w:pPr>
      <w:spacing w:before="120" w:after="120"/>
    </w:pPr>
    <w:rPr>
      <w:i/>
    </w:rPr>
  </w:style>
  <w:style w:type="paragraph" w:styleId="112" w:customStyle="1">
    <w:name w:val="Указатель11"/>
    <w:basedOn w:val="Normal"/>
    <w:link w:val="12"/>
    <w:qFormat/>
    <w:pPr/>
    <w:rPr/>
  </w:style>
  <w:style w:type="paragraph" w:styleId="TOC2">
    <w:name w:val="toc 2"/>
    <w:next w:val="Normal"/>
    <w:uiPriority w:val="39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BalloonText1" w:customStyle="1">
    <w:name w:val="Balloon Text1"/>
    <w:basedOn w:val="Normal"/>
    <w:link w:val="1"/>
    <w:qFormat/>
    <w:pPr/>
    <w:rPr>
      <w:rFonts w:ascii="Tahoma" w:hAnsi="Tahoma"/>
      <w:sz w:val="16"/>
    </w:rPr>
  </w:style>
  <w:style w:type="paragraph" w:styleId="DefaultParagraphFont1" w:customStyle="1">
    <w:name w:val="Default Paragraph Font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5" w:customStyle="1">
    <w:name w:val="Верхний колонтитул Знак1"/>
    <w:basedOn w:val="DefaultParagraphFont1"/>
    <w:link w:val="Style9"/>
    <w:qFormat/>
    <w:pPr/>
    <w:rPr>
      <w:rFonts w:ascii="Times New Roman" w:hAnsi="Times New Roman"/>
      <w:sz w:val="24"/>
    </w:rPr>
  </w:style>
  <w:style w:type="paragraph" w:styleId="Endnote1" w:customStyle="1">
    <w:name w:val="Endnote1"/>
    <w:link w:val="End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Droid Sans Fallback" w:cs="Lohit Devanagari"/>
      <w:color w:val="000000"/>
      <w:kern w:val="0"/>
      <w:sz w:val="22"/>
      <w:szCs w:val="20"/>
      <w:lang w:val="ru-RU" w:eastAsia="zh-CN" w:bidi="hi-IN"/>
    </w:rPr>
  </w:style>
  <w:style w:type="paragraph" w:styleId="16" w:customStyle="1">
    <w:name w:val="Колонтитул1"/>
    <w:link w:val="Style10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ConsPlusNormal1" w:customStyle="1">
    <w:name w:val="ConsPlusNormal1"/>
    <w:link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6"/>
      <w:szCs w:val="20"/>
      <w:lang w:val="ru-RU" w:eastAsia="zh-CN" w:bidi="hi-IN"/>
    </w:rPr>
  </w:style>
  <w:style w:type="paragraph" w:styleId="17" w:customStyle="1">
    <w:name w:val="Символ концевой сноски1"/>
    <w:link w:val="Style1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13" w:customStyle="1">
    <w:name w:val="Заголовок 1 Знак1"/>
    <w:basedOn w:val="DefaultParagraphFont1"/>
    <w:link w:val="13"/>
    <w:qFormat/>
    <w:pPr/>
    <w:rPr>
      <w:rFonts w:ascii="Cambria" w:hAnsi="Cambria" w:asciiTheme="majorHAnsi" w:hAnsiTheme="majorHAnsi"/>
      <w:b/>
      <w:color w:themeColor="accent1" w:themeShade="bf" w:val="365F91"/>
      <w:sz w:val="28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18" w:customStyle="1">
    <w:name w:val="Содержимое таблицы1"/>
    <w:basedOn w:val="Normal"/>
    <w:link w:val="Style16"/>
    <w:qFormat/>
    <w:pPr>
      <w:widowControl w:val="false"/>
    </w:pPr>
    <w:rPr/>
  </w:style>
  <w:style w:type="paragraph" w:styleId="19" w:customStyle="1">
    <w:name w:val="Заголовок таблицы1"/>
    <w:basedOn w:val="18"/>
    <w:link w:val="Style12"/>
    <w:qFormat/>
    <w:pPr>
      <w:jc w:val="center"/>
    </w:pPr>
    <w:rPr>
      <w:b/>
    </w:rPr>
  </w:style>
  <w:style w:type="paragraph" w:styleId="110" w:customStyle="1">
    <w:name w:val="Символ сноски1"/>
    <w:link w:val="Style13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 w:asciiTheme="minorHAnsi" w:hAnsiTheme="minorHAnsi"/>
      <w:color w:val="000000"/>
      <w:kern w:val="0"/>
      <w:sz w:val="22"/>
      <w:szCs w:val="20"/>
      <w:vertAlign w:val="superscript"/>
      <w:lang w:val="ru-RU" w:eastAsia="zh-CN" w:bidi="hi-IN"/>
    </w:rPr>
  </w:style>
  <w:style w:type="paragraph" w:styleId="2" w:customStyle="1">
    <w:name w:val="Колонтитул2"/>
    <w:basedOn w:val="Normal"/>
    <w:qFormat/>
    <w:pPr/>
    <w:rPr/>
  </w:style>
  <w:style w:type="paragraph" w:styleId="3" w:customStyle="1">
    <w:name w:val="Колонтитул3"/>
    <w:basedOn w:val="Normal"/>
    <w:qFormat/>
    <w:pPr/>
    <w:rPr/>
  </w:style>
  <w:style w:type="paragraph" w:styleId="4" w:customStyle="1">
    <w:name w:val="Колонтитул4"/>
    <w:basedOn w:val="Normal"/>
    <w:qFormat/>
    <w:pPr/>
    <w:rPr/>
  </w:style>
  <w:style w:type="paragraph" w:styleId="5" w:customStyle="1">
    <w:name w:val="Колонтитул5"/>
    <w:basedOn w:val="Normal"/>
    <w:qFormat/>
    <w:pPr/>
    <w:rPr/>
  </w:style>
  <w:style w:type="paragraph" w:styleId="6" w:customStyle="1">
    <w:name w:val="Колонтитул6"/>
    <w:basedOn w:val="Normal"/>
    <w:qFormat/>
    <w:pPr/>
    <w:rPr/>
  </w:style>
  <w:style w:type="paragraph" w:styleId="7" w:customStyle="1">
    <w:name w:val="Колонтитул7"/>
    <w:basedOn w:val="Normal"/>
    <w:qFormat/>
    <w:pPr/>
    <w:rPr/>
  </w:style>
  <w:style w:type="paragraph" w:styleId="8" w:customStyle="1">
    <w:name w:val="Колонтитул8"/>
    <w:basedOn w:val="Normal"/>
    <w:qFormat/>
    <w:pPr/>
    <w:rPr/>
  </w:style>
  <w:style w:type="paragraph" w:styleId="9" w:customStyle="1">
    <w:name w:val="Колонтитул9"/>
    <w:basedOn w:val="Normal"/>
    <w:qFormat/>
    <w:pPr/>
    <w:rPr/>
  </w:style>
  <w:style w:type="paragraph" w:styleId="10" w:customStyle="1">
    <w:name w:val="Колонтитул10"/>
    <w:basedOn w:val="Normal"/>
    <w:qFormat/>
    <w:pPr/>
    <w:rPr/>
  </w:style>
  <w:style w:type="paragraph" w:styleId="114" w:customStyle="1">
    <w:name w:val="Колонтитул11"/>
    <w:basedOn w:val="Normal"/>
    <w:qFormat/>
    <w:pPr/>
    <w:rPr/>
  </w:style>
  <w:style w:type="paragraph" w:styleId="121" w:customStyle="1">
    <w:name w:val="Колонтитул12"/>
    <w:basedOn w:val="Normal"/>
    <w:qFormat/>
    <w:pPr/>
    <w:rPr/>
  </w:style>
  <w:style w:type="paragraph" w:styleId="131" w:customStyle="1">
    <w:name w:val="Колонтитул13"/>
    <w:basedOn w:val="Normal"/>
    <w:qFormat/>
    <w:pPr/>
    <w:rPr/>
  </w:style>
  <w:style w:type="paragraph" w:styleId="141" w:customStyle="1">
    <w:name w:val="Колонтитул14"/>
    <w:basedOn w:val="Normal"/>
    <w:qFormat/>
    <w:pPr/>
    <w:rPr/>
  </w:style>
  <w:style w:type="paragraph" w:styleId="151" w:customStyle="1">
    <w:name w:val="Колонтитул15"/>
    <w:basedOn w:val="Normal"/>
    <w:qFormat/>
    <w:pPr/>
    <w:rPr/>
  </w:style>
  <w:style w:type="paragraph" w:styleId="161" w:customStyle="1">
    <w:name w:val="Колонтитул16"/>
    <w:basedOn w:val="Normal"/>
    <w:qFormat/>
    <w:pPr/>
    <w:rPr/>
  </w:style>
  <w:style w:type="paragraph" w:styleId="171" w:customStyle="1">
    <w:name w:val="Колонтитул17"/>
    <w:basedOn w:val="Normal"/>
    <w:qFormat/>
    <w:pPr/>
    <w:rPr/>
  </w:style>
  <w:style w:type="paragraph" w:styleId="181" w:customStyle="1">
    <w:name w:val="Колонтитул18"/>
    <w:basedOn w:val="Normal"/>
    <w:qFormat/>
    <w:pPr/>
    <w:rPr/>
  </w:style>
  <w:style w:type="paragraph" w:styleId="191" w:customStyle="1">
    <w:name w:val="Колонтитул19"/>
    <w:basedOn w:val="Normal"/>
    <w:qFormat/>
    <w:pPr/>
    <w:rPr/>
  </w:style>
  <w:style w:type="paragraph" w:styleId="20" w:customStyle="1">
    <w:name w:val="Колонтитул20"/>
    <w:basedOn w:val="Normal"/>
    <w:qFormat/>
    <w:pPr/>
    <w:rPr/>
  </w:style>
  <w:style w:type="paragraph" w:styleId="21" w:customStyle="1">
    <w:name w:val="Колонтитул21"/>
    <w:basedOn w:val="Normal"/>
    <w:qFormat/>
    <w:pPr/>
    <w:rPr/>
  </w:style>
  <w:style w:type="paragraph" w:styleId="22" w:customStyle="1">
    <w:name w:val="Колонтитул22"/>
    <w:basedOn w:val="Normal"/>
    <w:qFormat/>
    <w:pPr/>
    <w:rPr/>
  </w:style>
  <w:style w:type="paragraph" w:styleId="23" w:customStyle="1">
    <w:name w:val="Колонтитул23"/>
    <w:basedOn w:val="Normal"/>
    <w:qFormat/>
    <w:pPr/>
    <w:rPr/>
  </w:style>
  <w:style w:type="paragraph" w:styleId="24" w:customStyle="1">
    <w:name w:val="Колонтитул24"/>
    <w:basedOn w:val="Normal"/>
    <w:qFormat/>
    <w:pPr/>
    <w:rPr/>
  </w:style>
  <w:style w:type="paragraph" w:styleId="HeaderandFooter1">
    <w:name w:val="Header and Footer1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Internetlink" w:customStyle="1">
    <w:name w:val="Internet link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/>
      <w:color w:val="0000FF"/>
      <w:kern w:val="0"/>
      <w:sz w:val="22"/>
      <w:szCs w:val="20"/>
      <w:u w:val="single"/>
      <w:lang w:val="ru-RU" w:eastAsia="zh-CN" w:bidi="hi-IN"/>
    </w:rPr>
  </w:style>
  <w:style w:type="paragraph" w:styleId="Footnote1" w:customStyle="1">
    <w:name w:val="Footnote1"/>
    <w:basedOn w:val="Normal"/>
    <w:link w:val="Footnote"/>
    <w:qFormat/>
    <w:pPr>
      <w:spacing w:lineRule="auto" w:line="264" w:before="0" w:after="160"/>
    </w:pPr>
    <w:rPr>
      <w:rFonts w:ascii="Calibri" w:hAnsi="Calibri" w:asciiTheme="minorHAnsi" w:hAnsiTheme="minorHAnsi"/>
      <w:sz w:val="20"/>
    </w:rPr>
  </w:style>
  <w:style w:type="paragraph" w:styleId="115" w:customStyle="1">
    <w:name w:val="Нижний колонтитул Знак1"/>
    <w:basedOn w:val="DefaultParagraphFont1"/>
    <w:link w:val="Style14"/>
    <w:qFormat/>
    <w:pPr/>
    <w:rPr>
      <w:rFonts w:ascii="Times New Roman" w:hAnsi="Times New Roman"/>
      <w:sz w:val="24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Droid Sans Fallback" w:cs="Lohit Devanagari"/>
      <w:b/>
      <w:color w:val="000000"/>
      <w:kern w:val="0"/>
      <w:sz w:val="28"/>
      <w:szCs w:val="20"/>
      <w:lang w:val="ru-RU" w:eastAsia="zh-CN" w:bidi="hi-IN"/>
    </w:rPr>
  </w:style>
  <w:style w:type="paragraph" w:styleId="116" w:customStyle="1">
    <w:name w:val="Основной текст Знак1"/>
    <w:basedOn w:val="DefaultParagraphFont1"/>
    <w:link w:val="Style15"/>
    <w:qFormat/>
    <w:pPr/>
    <w:rPr>
      <w:rFonts w:ascii="Times New Roman" w:hAnsi="Times New Roman"/>
      <w:sz w:val="20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ListParagraph1" w:customStyle="1">
    <w:name w:val="List Paragraph1"/>
    <w:basedOn w:val="Normal"/>
    <w:link w:val="14"/>
    <w:qFormat/>
    <w:pPr>
      <w:spacing w:before="0" w:after="0"/>
      <w:ind w:left="720"/>
      <w:contextualSpacing/>
    </w:pPr>
    <w:rPr/>
  </w:style>
  <w:style w:type="paragraph" w:styleId="TOC8">
    <w:name w:val="toc 8"/>
    <w:next w:val="Normal"/>
    <w:uiPriority w:val="39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FootnoteSymbol" w:customStyle="1">
    <w:name w:val="Footnote Symbo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 w:asciiTheme="minorHAnsi" w:hAnsiTheme="minorHAnsi"/>
      <w:color w:val="000000"/>
      <w:kern w:val="0"/>
      <w:sz w:val="22"/>
      <w:szCs w:val="20"/>
      <w:vertAlign w:val="superscript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Droid Sans Fallback" w:cs="Lohit Devanagari"/>
      <w:color w:val="00000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Droid Sans Fallback" w:cs="Lohit Devanagari"/>
      <w:i/>
      <w:color w:val="000000"/>
      <w:kern w:val="0"/>
      <w:sz w:val="24"/>
      <w:szCs w:val="20"/>
      <w:lang w:val="ru-RU" w:eastAsia="zh-CN" w:bidi="hi-IN"/>
    </w:rPr>
  </w:style>
  <w:style w:type="paragraph" w:styleId="EndnoteSymbol" w:customStyle="1">
    <w:name w:val="Endnote Symbo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Lohit Devanagari" w:asciiTheme="minorHAnsi" w:hAnsiTheme="minorHAnsi"/>
      <w:color w:val="000000"/>
      <w:kern w:val="0"/>
      <w:sz w:val="22"/>
      <w:szCs w:val="20"/>
      <w:vertAlign w:val="superscript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Droid Sans Fallback" w:cs="Lohit Devanagari"/>
      <w:b/>
      <w:caps/>
      <w:color w:val="000000"/>
      <w:kern w:val="0"/>
      <w:sz w:val="40"/>
      <w:szCs w:val="20"/>
      <w:lang w:val="ru-RU" w:eastAsia="zh-CN" w:bidi="hi-IN"/>
    </w:rPr>
  </w:style>
  <w:style w:type="paragraph" w:styleId="117" w:customStyle="1">
    <w:name w:val="Текст сноски Знак1"/>
    <w:basedOn w:val="DefaultParagraphFont1"/>
    <w:link w:val="Style17"/>
    <w:qFormat/>
    <w:pPr/>
    <w:rPr>
      <w:sz w:val="20"/>
    </w:rPr>
  </w:style>
  <w:style w:type="paragraph" w:styleId="FootnoteText">
    <w:name w:val="footnote text"/>
    <w:basedOn w:val="Normal"/>
    <w:pPr/>
    <w:rPr/>
  </w:style>
  <w:style w:type="paragraph" w:styleId="25" w:customStyle="1">
    <w:name w:val="Содержимое таблицы2"/>
    <w:basedOn w:val="Normal"/>
    <w:qFormat/>
    <w:pPr>
      <w:widowControl w:val="false"/>
      <w:suppressLineNumbers/>
    </w:pPr>
    <w:rPr/>
  </w:style>
  <w:style w:type="paragraph" w:styleId="26" w:customStyle="1">
    <w:name w:val="Заголовок таблицы2"/>
    <w:basedOn w:val="25"/>
    <w:qFormat/>
    <w:pPr>
      <w:jc w:val="center"/>
    </w:pPr>
    <w:rPr>
      <w:b/>
      <w:bCs/>
    </w:rPr>
  </w:style>
  <w:style w:type="paragraph" w:styleId="31" w:customStyle="1">
    <w:name w:val="Содержимое таблицы3"/>
    <w:basedOn w:val="Normal"/>
    <w:qFormat/>
    <w:pPr>
      <w:widowControl w:val="false"/>
      <w:suppressLineNumbers/>
    </w:pPr>
    <w:rPr/>
  </w:style>
  <w:style w:type="paragraph" w:styleId="32" w:customStyle="1">
    <w:name w:val="Заголовок таблицы3"/>
    <w:basedOn w:val="31"/>
    <w:qFormat/>
    <w:pPr>
      <w:jc w:val="center"/>
    </w:pPr>
    <w:rPr>
      <w:b/>
      <w:bCs/>
    </w:rPr>
  </w:style>
  <w:style w:type="paragraph" w:styleId="41" w:customStyle="1">
    <w:name w:val="Содержимое таблицы4"/>
    <w:basedOn w:val="Normal"/>
    <w:qFormat/>
    <w:pPr>
      <w:widowControl w:val="false"/>
      <w:suppressLineNumbers/>
    </w:pPr>
    <w:rPr/>
  </w:style>
  <w:style w:type="paragraph" w:styleId="42" w:customStyle="1">
    <w:name w:val="Заголовок таблицы4"/>
    <w:basedOn w:val="41"/>
    <w:qFormat/>
    <w:pPr>
      <w:jc w:val="center"/>
    </w:pPr>
    <w:rPr>
      <w:b/>
      <w:bCs/>
    </w:rPr>
  </w:style>
  <w:style w:type="paragraph" w:styleId="51" w:customStyle="1">
    <w:name w:val="Содержимое таблицы5"/>
    <w:basedOn w:val="Normal"/>
    <w:qFormat/>
    <w:pPr>
      <w:widowControl w:val="false"/>
      <w:suppressLineNumbers/>
    </w:pPr>
    <w:rPr/>
  </w:style>
  <w:style w:type="paragraph" w:styleId="52" w:customStyle="1">
    <w:name w:val="Заголовок таблицы5"/>
    <w:basedOn w:val="51"/>
    <w:qFormat/>
    <w:pPr>
      <w:jc w:val="center"/>
    </w:pPr>
    <w:rPr>
      <w:b/>
      <w:bCs/>
    </w:rPr>
  </w:style>
  <w:style w:type="paragraph" w:styleId="61" w:customStyle="1">
    <w:name w:val="Содержимое таблицы6"/>
    <w:basedOn w:val="Normal"/>
    <w:qFormat/>
    <w:pPr>
      <w:widowControl w:val="false"/>
      <w:suppressLineNumbers/>
    </w:pPr>
    <w:rPr/>
  </w:style>
  <w:style w:type="paragraph" w:styleId="62" w:customStyle="1">
    <w:name w:val="Заголовок таблицы6"/>
    <w:basedOn w:val="61"/>
    <w:qFormat/>
    <w:pPr>
      <w:jc w:val="center"/>
    </w:pPr>
    <w:rPr>
      <w:b/>
      <w:bCs/>
    </w:rPr>
  </w:style>
  <w:style w:type="paragraph" w:styleId="71" w:customStyle="1">
    <w:name w:val="Содержимое таблицы7"/>
    <w:basedOn w:val="Normal"/>
    <w:qFormat/>
    <w:pPr>
      <w:widowControl w:val="false"/>
      <w:suppressLineNumbers/>
    </w:pPr>
    <w:rPr/>
  </w:style>
  <w:style w:type="paragraph" w:styleId="72" w:customStyle="1">
    <w:name w:val="Заголовок таблицы7"/>
    <w:basedOn w:val="71"/>
    <w:qFormat/>
    <w:pPr>
      <w:jc w:val="center"/>
    </w:pPr>
    <w:rPr>
      <w:b/>
      <w:bCs/>
    </w:rPr>
  </w:style>
  <w:style w:type="paragraph" w:styleId="81" w:customStyle="1">
    <w:name w:val="Содержимое таблицы8"/>
    <w:basedOn w:val="Normal"/>
    <w:qFormat/>
    <w:pPr>
      <w:widowControl w:val="false"/>
      <w:suppressLineNumbers/>
    </w:pPr>
    <w:rPr/>
  </w:style>
  <w:style w:type="paragraph" w:styleId="82" w:customStyle="1">
    <w:name w:val="Заголовок таблицы8"/>
    <w:basedOn w:val="81"/>
    <w:qFormat/>
    <w:pPr>
      <w:jc w:val="center"/>
    </w:pPr>
    <w:rPr>
      <w:b/>
      <w:bCs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4</Pages>
  <Words>539</Words>
  <Characters>3621</Characters>
  <CharactersWithSpaces>3890</CharactersWithSpaces>
  <Paragraphs>273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2026-03-23T08:21:00Z</dcterms:created>
  <dc:creator>Ануфриева Наталья Андреевна</dc:creator>
  <dc:description/>
  <dc:language>ru-RU</dc:language>
  <cp:lastModifiedBy/>
  <cp:lastPrinted>2026-03-05T11:06:00Z</cp:lastPrinted>
  <dcterms:modified xsi:type="dcterms:W3CDTF">2026-03-23T13:28:41Z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