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="0" w:after="0"/>
        <w:ind w:left="10206"/>
        <w:contextualSpacing/>
        <w:jc w:val="right"/>
        <w:outlineLvl w:val="0"/>
        <w:rPr/>
      </w:pPr>
      <w:bookmarkStart w:id="0" w:name="_GoBack"/>
      <w:bookmarkEnd w:id="0"/>
      <w:r>
        <w:rPr/>
        <w:t xml:space="preserve"> </w:t>
      </w:r>
    </w:p>
    <w:tbl>
      <w:tblPr>
        <w:tblStyle w:val="af"/>
        <w:tblW w:w="15735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38"/>
        <w:gridCol w:w="7796"/>
      </w:tblGrid>
      <w:tr>
        <w:trPr/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    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                                                              </w:t>
            </w:r>
            <w:r>
              <w:rPr>
                <w:kern w:val="0"/>
                <w:lang w:val="ru-RU" w:bidi="ar-SA"/>
              </w:rPr>
              <w:t>УТВЕРЖДЕН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                        </w:t>
            </w:r>
            <w:r>
              <w:rPr>
                <w:kern w:val="0"/>
                <w:lang w:val="ru-RU" w:bidi="ar-SA"/>
              </w:rPr>
              <w:t>Протоколом управляющего совета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                         </w:t>
            </w:r>
            <w:r>
              <w:rPr>
                <w:kern w:val="0"/>
                <w:lang w:val="ru-RU" w:bidi="ar-SA"/>
              </w:rPr>
              <w:t>муниципальной программы</w:t>
            </w:r>
          </w:p>
          <w:p>
            <w:pPr>
              <w:pStyle w:val="Normal"/>
              <w:widowControl/>
              <w:spacing w:before="0" w:after="0"/>
              <w:ind w:left="1304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«Развитие муниципальной системы образования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                        </w:t>
            </w:r>
            <w:r>
              <w:rPr>
                <w:kern w:val="0"/>
                <w:lang w:val="ru-RU" w:bidi="ar-SA"/>
              </w:rPr>
              <w:t>Копейского городского округа»</w:t>
            </w:r>
          </w:p>
        </w:tc>
      </w:tr>
    </w:tbl>
    <w:p>
      <w:pPr>
        <w:pStyle w:val="Normal"/>
        <w:spacing w:before="0" w:after="0"/>
        <w:contextualSpacing/>
        <w:rPr/>
      </w:pPr>
      <w:r>
        <w:rPr/>
        <w:t xml:space="preserve">                                                                                                                                                                               </w:t>
      </w:r>
      <w:r>
        <w:rPr>
          <w:u w:val="single"/>
        </w:rPr>
        <w:t xml:space="preserve">От </w:t>
      </w:r>
      <w:r>
        <w:rPr>
          <w:u w:val="single"/>
        </w:rPr>
        <w:t xml:space="preserve">23.01.2026 </w:t>
      </w:r>
      <w:r>
        <w:rPr>
          <w:u w:val="single"/>
        </w:rPr>
        <w:t>№</w:t>
      </w:r>
      <w:r>
        <w:rPr>
          <w:u w:val="single"/>
        </w:rPr>
        <w:t>5</w:t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проекта «Содействие созданию в Копейском городском</w:t>
      </w:r>
    </w:p>
    <w:p>
      <w:pPr>
        <w:pStyle w:val="Normal"/>
        <w:spacing w:before="0" w:after="0"/>
        <w:contextualSpacing/>
        <w:jc w:val="center"/>
        <w:rPr/>
      </w:pPr>
      <w:r>
        <w:rPr/>
        <w:t>округе (исходя из прогнозируемой потребности) новых мест</w:t>
      </w:r>
    </w:p>
    <w:p>
      <w:pPr>
        <w:pStyle w:val="Normal"/>
        <w:spacing w:before="0" w:after="0"/>
        <w:contextualSpacing/>
        <w:jc w:val="center"/>
        <w:rPr/>
      </w:pPr>
      <w:r>
        <w:rPr/>
        <w:t>в общеобразовательных организациях Копейского городского округа»</w:t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119"/>
        <w:gridCol w:w="1014"/>
        <w:gridCol w:w="3095"/>
        <w:gridCol w:w="1847"/>
        <w:gridCol w:w="1519"/>
        <w:gridCol w:w="1976"/>
      </w:tblGrid>
      <w:tr>
        <w:trPr>
          <w:trHeight w:val="798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both"/>
              <w:rPr/>
            </w:pPr>
            <w:r>
              <w:rPr/>
              <w:t>Краткое наименование проекта: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«Содействие созданию в Копейском городском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округе (исходя из прогнозируемой потребности) новых мест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в общеобразовательных организациях Копейского городского округа»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Срок реализации проекта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01.01.2025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31.12.2030</w:t>
            </w:r>
          </w:p>
        </w:tc>
      </w:tr>
      <w:tr>
        <w:trPr>
          <w:trHeight w:val="399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numPr>
                <w:ilvl w:val="0"/>
                <w:numId w:val="0"/>
              </w:numPr>
              <w:spacing w:before="0" w:after="0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Рукавишников А.Ю.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Заместитель Главы Копейского городского округа по имуществу, градостроительству и жилищной политике</w:t>
            </w:r>
          </w:p>
        </w:tc>
      </w:tr>
      <w:tr>
        <w:trPr>
          <w:trHeight w:val="399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проекта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Разинкин М.В.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ГРБС -администрация городского округа</w:t>
            </w:r>
          </w:p>
        </w:tc>
      </w:tr>
      <w:tr>
        <w:trPr>
          <w:trHeight w:val="198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Связь с муниципальной программой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Муниципальная программа 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Развитие муниципальной системы образования Копейского городского округа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  <w:t xml:space="preserve">2. Показатели проекта </w:t>
      </w:r>
    </w:p>
    <w:tbl>
      <w:tblPr>
        <w:tblW w:w="5000" w:type="pct"/>
        <w:jc w:val="left"/>
        <w:tblInd w:w="-539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420"/>
        <w:gridCol w:w="4692"/>
        <w:gridCol w:w="1512"/>
        <w:gridCol w:w="1140"/>
        <w:gridCol w:w="623"/>
        <w:gridCol w:w="656"/>
        <w:gridCol w:w="656"/>
        <w:gridCol w:w="655"/>
        <w:gridCol w:w="653"/>
        <w:gridCol w:w="45"/>
        <w:gridCol w:w="701"/>
        <w:gridCol w:w="41"/>
        <w:gridCol w:w="657"/>
        <w:gridCol w:w="1311"/>
        <w:gridCol w:w="807"/>
      </w:tblGrid>
      <w:tr>
        <w:trPr>
          <w:trHeight w:val="369" w:hRule="atLeast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Показатели</w:t>
            </w:r>
            <w:r>
              <w:rPr>
                <w:lang w:val="en-US"/>
              </w:rPr>
              <w:t xml:space="preserve"> </w:t>
            </w:r>
            <w:r>
              <w:rPr/>
              <w:t>проекта</w:t>
            </w: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Уровень показателя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Единица измерения 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2024 </w:t>
            </w:r>
          </w:p>
        </w:tc>
        <w:tc>
          <w:tcPr>
            <w:tcW w:w="4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Значение показателя по годам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vertAlign w:val="superscript"/>
              </w:rPr>
            </w:pPr>
            <w:r>
              <w:rPr/>
              <w:t>Признак возрастания/ убывания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vertAlign w:val="superscript"/>
              </w:rPr>
            </w:pPr>
            <w:r>
              <w:rPr/>
              <w:t>Нара-стаю-щий итог</w:t>
            </w:r>
          </w:p>
        </w:tc>
      </w:tr>
      <w:tr>
        <w:trPr>
          <w:trHeight w:val="547" w:hRule="atLeast"/>
        </w:trPr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4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33" w:hRule="atLeast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13</w:t>
            </w:r>
          </w:p>
        </w:tc>
      </w:tr>
      <w:tr>
        <w:trPr>
          <w:trHeight w:val="133" w:hRule="atLeast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14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/>
            </w:pPr>
            <w:r>
              <w:rPr/>
              <w:t>Задача – обеспечение односменного режима обучения в 1-11(12) классах общеобразовательных организаций, расположенных на территории городского округа</w:t>
            </w:r>
          </w:p>
        </w:tc>
      </w:tr>
      <w:tr>
        <w:trPr>
          <w:trHeight w:val="534" w:hRule="atLeast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Количество новых мест в общеобразовательных организациях, расположенных на территории городского округа, в том числе введенных путем строительства объектов инфраструктуры общего образования всего</w:t>
            </w:r>
          </w:p>
          <w:p>
            <w:pPr>
              <w:pStyle w:val="Normal"/>
              <w:spacing w:lineRule="atLeast" w:line="240" w:before="0" w:after="0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  <w:t xml:space="preserve">«ГП»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единиц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500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Возрастаю-щий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Нет </w:t>
            </w:r>
          </w:p>
        </w:tc>
      </w:tr>
      <w:tr>
        <w:trPr>
          <w:trHeight w:val="534" w:hRule="atLeast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1.2.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Удельный вес численности обучающихся, занимающихся в первую смену в общеобразовательных организациях, расположенных </w:t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на территории городского округа, в общей численности  обучающихся в общеобразовательных организациях, расположенных на территории городского округа (процентов), в том числе:  </w:t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  <w:t>«ГП»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процент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66,9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68,3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68,3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68,3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68,3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68,3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68,3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Возрастаю-щий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Да</w:t>
            </w:r>
          </w:p>
        </w:tc>
      </w:tr>
      <w:tr>
        <w:trPr>
          <w:trHeight w:val="534" w:hRule="atLeast"/>
        </w:trPr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- 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начального общего образования,  в общей численности обучающихся в общеобразовательных организациях, расположенных на территории городского округа, по образовательным программам начального общего образования;</w:t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</w:tc>
        <w:tc>
          <w:tcPr>
            <w:tcW w:w="1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/>
              <w:t xml:space="preserve">61,2      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62,8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62,8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62,8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62,8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62,8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62,8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Возрастаю-щий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Да</w:t>
            </w:r>
          </w:p>
        </w:tc>
      </w:tr>
      <w:tr>
        <w:trPr>
          <w:trHeight w:val="534" w:hRule="atLeast"/>
        </w:trPr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-удельный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основного общего образования,  в общей численности обучающихся в общеобразовательных организациях, расположенных на территории городского округа, по образовательным программам основного общего образования;</w:t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</w:tc>
        <w:tc>
          <w:tcPr>
            <w:tcW w:w="1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/>
              <w:t>66,4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68,0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68,0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68,0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68,0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68,0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68,0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Возрастаю-щий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Да</w:t>
            </w:r>
          </w:p>
        </w:tc>
      </w:tr>
      <w:tr>
        <w:trPr>
          <w:trHeight w:val="534" w:hRule="atLeast"/>
        </w:trPr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-удельный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среднего общего образования,  в общей численности обучающихся в общеобразовательных организациях, расположенных на территории городского округа, по образовательным программам среднего общего образования</w:t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</w:tc>
        <w:tc>
          <w:tcPr>
            <w:tcW w:w="1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/>
              <w:t>100,0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100,0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100,0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100,0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Возрастаю-щий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Нет</w:t>
            </w:r>
          </w:p>
        </w:tc>
      </w:tr>
      <w:tr>
        <w:trPr>
          <w:trHeight w:val="534" w:hRule="atLeast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2.</w:t>
            </w:r>
          </w:p>
        </w:tc>
        <w:tc>
          <w:tcPr>
            <w:tcW w:w="14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Задача - перевод обучающихся в новые здания общеобразовательных организаций из зданий с износом выше 50 процентов</w:t>
            </w:r>
          </w:p>
        </w:tc>
      </w:tr>
      <w:tr>
        <w:trPr>
          <w:trHeight w:val="534" w:hRule="atLeast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2.1.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Удельный вес численности обучающихся в общеобразовательных организациях, расположенных на территории городского округа, занимающихся в зданиях, имеющих все виды благоустройства</w:t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/>
              <w:t>процент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rFonts w:eastAsia="Calibri"/>
                <w:kern w:val="2"/>
                <w14:ligatures w14:val="standardContextual"/>
              </w:rPr>
              <w:t>95,6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rFonts w:eastAsia="Calibri"/>
                <w:kern w:val="2"/>
                <w14:ligatures w14:val="standardContextual"/>
              </w:rPr>
              <w:t>97,6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rFonts w:eastAsia="Calibri"/>
                <w:kern w:val="2"/>
                <w14:ligatures w14:val="standardContextual"/>
              </w:rPr>
              <w:t>97,6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rFonts w:eastAsia="Calibri"/>
                <w:kern w:val="2"/>
                <w14:ligatures w14:val="standardContextual"/>
              </w:rPr>
              <w:t>97,6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rFonts w:eastAsia="Calibri"/>
                <w:kern w:val="2"/>
                <w14:ligatures w14:val="standardContextual"/>
              </w:rPr>
              <w:t>97,6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rFonts w:eastAsia="Calibri"/>
                <w:kern w:val="2"/>
                <w14:ligatures w14:val="standardContextual"/>
              </w:rPr>
              <w:t>97,6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rFonts w:eastAsia="Calibri"/>
                <w:kern w:val="2"/>
                <w14:ligatures w14:val="standardContextual"/>
              </w:rPr>
              <w:t>97,6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Возрастаю-щий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Да</w:t>
            </w:r>
          </w:p>
        </w:tc>
      </w:tr>
    </w:tbl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План достижения показателей проекта в 2025 году </w:t>
      </w:r>
    </w:p>
    <w:tbl>
      <w:tblPr>
        <w:tblW w:w="5000" w:type="pct"/>
        <w:jc w:val="left"/>
        <w:tblInd w:w="-561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654"/>
        <w:gridCol w:w="6177"/>
        <w:gridCol w:w="1317"/>
        <w:gridCol w:w="519"/>
        <w:gridCol w:w="519"/>
        <w:gridCol w:w="524"/>
        <w:gridCol w:w="523"/>
        <w:gridCol w:w="522"/>
        <w:gridCol w:w="525"/>
        <w:gridCol w:w="530"/>
        <w:gridCol w:w="396"/>
        <w:gridCol w:w="393"/>
        <w:gridCol w:w="543"/>
        <w:gridCol w:w="530"/>
        <w:gridCol w:w="6"/>
        <w:gridCol w:w="885"/>
        <w:gridCol w:w="3"/>
      </w:tblGrid>
      <w:tr>
        <w:trPr>
          <w:tblHeader w:val="true"/>
          <w:trHeight w:val="300" w:hRule="atLeast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 xml:space="preserve">№ </w:t>
            </w:r>
          </w:p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п/п</w:t>
            </w:r>
          </w:p>
        </w:tc>
        <w:tc>
          <w:tcPr>
            <w:tcW w:w="6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Показатели проекта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5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Плановые значения по месяцам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 конец</w:t>
            </w:r>
          </w:p>
          <w:p>
            <w:pPr>
              <w:pStyle w:val="Normal"/>
              <w:spacing w:lineRule="atLeast" w:line="240" w:before="0" w:after="0"/>
              <w:contextualSpacing/>
              <w:rPr>
                <w:highlight w:val="yellow"/>
              </w:rPr>
            </w:pPr>
            <w:r>
              <w:rPr/>
              <w:t>отчетно-го года</w:t>
            </w:r>
          </w:p>
        </w:tc>
        <w:tc>
          <w:tcPr>
            <w:tcW w:w="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blHeader w:val="true"/>
          <w:trHeight w:val="177" w:hRule="atLeast"/>
        </w:trPr>
        <w:tc>
          <w:tcPr>
            <w:tcW w:w="6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1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05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07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08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09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8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13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33" w:hRule="atLeast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1390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ind w:left="145"/>
              <w:contextualSpacing/>
              <w:rPr/>
            </w:pPr>
            <w:r>
              <w:rPr/>
              <w:t>Обеспечение односменного режима обучения в 1-11(12) классах общеобразовательных организаций, расположенных на территории городского округа</w:t>
            </w:r>
          </w:p>
        </w:tc>
        <w:tc>
          <w:tcPr>
            <w:tcW w:w="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5" w:hRule="atLeast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1.1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Количество новых мест в общеобразовательных организациях, расположенных на территории городского округа, в том числе введенных путем строительства объектов инфраструктуры общего образования всего</w:t>
            </w:r>
          </w:p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275" w:hRule="atLeast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1.2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Удельный вес численности обучающихся, занимающихся в первую смену в общеобразовательных организациях, расположенных </w:t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на территории городского округа, в общей численности  обучающихся в общеобразовательных организациях, расположенных на территории городского округа (процентов), в том числе:  </w:t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68,3</w:t>
            </w:r>
          </w:p>
        </w:tc>
      </w:tr>
      <w:tr>
        <w:trPr>
          <w:trHeight w:val="275" w:hRule="atLeast"/>
        </w:trPr>
        <w:tc>
          <w:tcPr>
            <w:tcW w:w="6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- 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начального общего образования,  в общей численности обучающихся в общеобразовательных организациях, расположенных на территории городского округа, по образовательным программам начального общего образования;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62,8</w:t>
            </w:r>
          </w:p>
        </w:tc>
      </w:tr>
      <w:tr>
        <w:trPr>
          <w:trHeight w:val="275" w:hRule="atLeast"/>
        </w:trPr>
        <w:tc>
          <w:tcPr>
            <w:tcW w:w="6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-удельный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основного общего образования,  в общей численности обучающихся в общеобразовательных организациях, расположенных на территории городского округа, по образовательным программам основного общего образования;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68,0</w:t>
            </w:r>
          </w:p>
        </w:tc>
      </w:tr>
      <w:tr>
        <w:trPr>
          <w:trHeight w:val="275" w:hRule="atLeast"/>
        </w:trPr>
        <w:tc>
          <w:tcPr>
            <w:tcW w:w="6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-удельный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среднего общего образования, в общей численности обучающихся в общеобразовательных организациях, расположенных на территории городского округа, по образовательным программам среднего общего образования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100,0</w:t>
            </w:r>
          </w:p>
        </w:tc>
      </w:tr>
      <w:tr>
        <w:trPr>
          <w:trHeight w:val="275" w:hRule="atLeast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2.</w:t>
            </w:r>
          </w:p>
        </w:tc>
        <w:tc>
          <w:tcPr>
            <w:tcW w:w="139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Перевод обучающихся в новые здания общеобразовательных организаций из зданий с износом выше 50 процентов</w:t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</w:tc>
      </w:tr>
      <w:tr>
        <w:trPr>
          <w:trHeight w:val="275" w:hRule="atLeast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2.1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Удельный вес численности обучающихся в общеобразовательных организациях, расположенных на территории городского округа, занимающихся в зданиях, имеющих все виды благоустройства округа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97,6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>4. Мероприятия (результаты) проекта</w:t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tbl>
      <w:tblPr>
        <w:tblStyle w:val="af"/>
        <w:tblW w:w="15767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2551"/>
        <w:gridCol w:w="1559"/>
        <w:gridCol w:w="1984"/>
        <w:gridCol w:w="1277"/>
        <w:gridCol w:w="992"/>
        <w:gridCol w:w="851"/>
        <w:gridCol w:w="992"/>
        <w:gridCol w:w="850"/>
        <w:gridCol w:w="708"/>
        <w:gridCol w:w="52"/>
        <w:gridCol w:w="760"/>
        <w:gridCol w:w="39"/>
        <w:gridCol w:w="721"/>
        <w:gridCol w:w="1721"/>
      </w:tblGrid>
      <w:tr>
        <w:trPr/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№ </w:t>
            </w: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255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Тип мероприятия (результата)</w:t>
            </w:r>
            <w:r>
              <w:rPr>
                <w:rStyle w:val="FootnoteReference"/>
                <w:kern w:val="0"/>
                <w:lang w:val="ru-RU" w:bidi="ar-SA"/>
              </w:rPr>
              <w:footnoteReference w:id="2"/>
            </w:r>
          </w:p>
        </w:tc>
        <w:tc>
          <w:tcPr>
            <w:tcW w:w="19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Характеристика мероприятия (результата)</w:t>
            </w:r>
            <w:r>
              <w:rPr>
                <w:rStyle w:val="FootnoteReference"/>
                <w:kern w:val="0"/>
                <w:lang w:val="ru-RU" w:bidi="ar-SA"/>
              </w:rPr>
              <w:footnoteReference w:id="3"/>
            </w:r>
          </w:p>
        </w:tc>
        <w:tc>
          <w:tcPr>
            <w:tcW w:w="1277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60"/>
              <w:ind w:left="5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2024 год</w:t>
            </w:r>
          </w:p>
        </w:tc>
        <w:tc>
          <w:tcPr>
            <w:tcW w:w="4973" w:type="dxa"/>
            <w:gridSpan w:val="8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Значение показателя по годам</w:t>
            </w:r>
          </w:p>
        </w:tc>
        <w:tc>
          <w:tcPr>
            <w:tcW w:w="172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Связь с показателями регионального проекта</w:t>
            </w:r>
          </w:p>
        </w:tc>
      </w:tr>
      <w:tr>
        <w:trPr/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551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7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992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2025 год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2026 год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2027 год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2028 год</w:t>
            </w:r>
          </w:p>
        </w:tc>
        <w:tc>
          <w:tcPr>
            <w:tcW w:w="851" w:type="dxa"/>
            <w:gridSpan w:val="3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2029 год</w:t>
            </w:r>
          </w:p>
        </w:tc>
        <w:tc>
          <w:tcPr>
            <w:tcW w:w="721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2030 год</w:t>
            </w:r>
          </w:p>
        </w:tc>
        <w:tc>
          <w:tcPr>
            <w:tcW w:w="1721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2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3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4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5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7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9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10</w:t>
            </w:r>
          </w:p>
        </w:tc>
        <w:tc>
          <w:tcPr>
            <w:tcW w:w="851" w:type="dxa"/>
            <w:gridSpan w:val="3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11</w:t>
            </w:r>
          </w:p>
        </w:tc>
        <w:tc>
          <w:tcPr>
            <w:tcW w:w="72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12</w:t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13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</w:t>
            </w:r>
          </w:p>
        </w:tc>
        <w:tc>
          <w:tcPr>
            <w:tcW w:w="15057" w:type="dxa"/>
            <w:gridSpan w:val="14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Обеспечение односменного режима обучения в 1-11(12) классах общеобразовательных организаций, расположенных на территории городского округа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Создание новых мест в общеобразовательных организациях, расположенных на территории городского округа</w:t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Приобрете-ние товаров, работ, услуг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Строительство школы:</w:t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-на 500 мест по адресу:г. Копейск, ул.Северная</w:t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cs="Arial" w:ascii="Arial" w:hAnsi="Arial"/>
                <w:color w:val="2C2D2E"/>
                <w:kern w:val="0"/>
                <w:sz w:val="23"/>
                <w:szCs w:val="23"/>
                <w:lang w:val="ru-RU" w:bidi="ar-SA"/>
              </w:rPr>
              <w:t> </w:t>
            </w:r>
            <w:r>
              <w:rPr>
                <w:kern w:val="0"/>
                <w:lang w:val="ru-RU" w:bidi="ar-SA"/>
              </w:rPr>
              <w:t>обеспечение возможности детям получать качественное общее образование в условиях, отвечающих современным требованиям, независимо от места проживания ребенка</w:t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Авторский надзор, экспертное сопровождение, проведение лабораторных анализов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Приобрете-ние товаров, работ, услуг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Осуществление контроля при реализации проектов, экспертное сопровождение изменений в проектную документацию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cs="Arial" w:ascii="Arial" w:hAnsi="Arial"/>
                <w:color w:val="2C2D2E"/>
                <w:kern w:val="0"/>
                <w:sz w:val="23"/>
                <w:szCs w:val="23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</w:t>
            </w:r>
          </w:p>
        </w:tc>
        <w:tc>
          <w:tcPr>
            <w:tcW w:w="15057" w:type="dxa"/>
            <w:gridSpan w:val="14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Перевод обучающихся в новые здания общеобразовательных организаций из зданий с износом выше 50 процентов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cs="Arial" w:ascii="Arial" w:hAnsi="Arial"/>
                <w:color w:val="2C2D2E"/>
                <w:kern w:val="0"/>
                <w:sz w:val="23"/>
                <w:szCs w:val="23"/>
                <w:lang w:val="ru-RU" w:bidi="ar-SA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2.1.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kern w:val="0"/>
                <w:lang w:val="ru-RU" w:bidi="ar-SA"/>
              </w:rPr>
              <w:t>Предоставление субсидий местным бюджетам на проведение капитальных ремонтов зданий муниципальных общеобразовательных организаций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Приобрете-ние товаров, работ, услуг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Капитальный ремонт образовательных организаций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cs="Arial" w:ascii="Arial" w:hAnsi="Arial"/>
                <w:color w:val="2C2D2E"/>
                <w:kern w:val="0"/>
                <w:sz w:val="23"/>
                <w:szCs w:val="23"/>
                <w:lang w:val="ru-RU" w:bidi="ar-SA"/>
              </w:rPr>
              <w:t>-</w:t>
            </w:r>
          </w:p>
        </w:tc>
      </w:tr>
    </w:tbl>
    <w:p>
      <w:pPr>
        <w:pStyle w:val="Normal"/>
        <w:spacing w:lineRule="atLeast" w:line="240" w:before="0" w:after="0"/>
        <w:contextualSpacing/>
        <w:jc w:val="both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 xml:space="preserve"> </w:t>
      </w:r>
      <w:r>
        <w:rPr/>
        <w:t>5. Финансовое обеспечение проекта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4689"/>
        <w:gridCol w:w="1785"/>
        <w:gridCol w:w="1151"/>
        <w:gridCol w:w="1149"/>
        <w:gridCol w:w="1151"/>
        <w:gridCol w:w="930"/>
        <w:gridCol w:w="930"/>
        <w:gridCol w:w="930"/>
        <w:gridCol w:w="1258"/>
      </w:tblGrid>
      <w:tr>
        <w:trPr>
          <w:trHeight w:val="303" w:hRule="atLeast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Ответственный исполнитель </w:t>
            </w:r>
          </w:p>
        </w:tc>
        <w:tc>
          <w:tcPr>
            <w:tcW w:w="74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</w:tr>
      <w:tr>
        <w:trPr>
          <w:trHeight w:val="143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</w:t>
            </w:r>
          </w:p>
        </w:tc>
        <w:tc>
          <w:tcPr>
            <w:tcW w:w="139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Задача - обеспечение односменного режима обучения в 1-11(12) классах общеобразовательных организаций, расположенных на территории городского округа</w:t>
            </w:r>
          </w:p>
        </w:tc>
      </w:tr>
      <w:tr>
        <w:trPr>
          <w:trHeight w:val="193" w:hRule="atLeast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Создание новых мест в общеобразовательных организациях, расположенных на территории городского округа (г. Копейск, ул. Северная;   г. Копейск, 21 микрорайон)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МУ Копейского городского округа «Управление строительства» (далее – управление строительства)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72275,40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180000,00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600000,00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852275,40</w:t>
            </w:r>
          </w:p>
        </w:tc>
      </w:tr>
      <w:tr>
        <w:trPr>
          <w:trHeight w:val="902" w:hRule="atLeast"/>
        </w:trPr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120,70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180,2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600,60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901,50</w:t>
            </w:r>
          </w:p>
        </w:tc>
      </w:tr>
      <w:tr>
        <w:trPr>
          <w:trHeight w:val="193" w:hRule="atLeast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Авторский надзор, экспертное сопровождение, проведение лабораторных анализов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строительства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5905,20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1193,20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600,00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7698,40</w:t>
            </w:r>
          </w:p>
        </w:tc>
      </w:tr>
      <w:tr>
        <w:trPr>
          <w:trHeight w:val="193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2.</w:t>
            </w:r>
          </w:p>
        </w:tc>
        <w:tc>
          <w:tcPr>
            <w:tcW w:w="139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Задача - перевод обучающихся в новые здания общеобразовательных организаций из зданий с износом выше 50 процентов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2.1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Предоставление субсидий местным бюджетам на проведение капитальных ремонтов зданий муниципальных общеобразовательных организаций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администрации Копейского городского округа (далее – управление образования)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Всего на реализацию регионального проекта, в т.ч.</w:t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78301,30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181373,40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601200,60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860875,30</w:t>
            </w:r>
          </w:p>
        </w:tc>
      </w:tr>
      <w:tr>
        <w:trPr>
          <w:trHeight w:val="193" w:hRule="atLeast"/>
        </w:trPr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72275,40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180000,00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600000,00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852275,40</w:t>
            </w:r>
          </w:p>
        </w:tc>
      </w:tr>
      <w:tr>
        <w:trPr>
          <w:trHeight w:val="193" w:hRule="atLeast"/>
        </w:trPr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6025,90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1373,40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1200,60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8599,90</w:t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6. План реализации проекта</w:t>
      </w:r>
    </w:p>
    <w:tbl>
      <w:tblPr>
        <w:tblStyle w:val="af"/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67"/>
        <w:gridCol w:w="4045"/>
        <w:gridCol w:w="1498"/>
        <w:gridCol w:w="1457"/>
        <w:gridCol w:w="1895"/>
        <w:gridCol w:w="2469"/>
        <w:gridCol w:w="2138"/>
      </w:tblGrid>
      <w:tr>
        <w:trPr/>
        <w:tc>
          <w:tcPr>
            <w:tcW w:w="1067" w:type="dxa"/>
            <w:vMerge w:val="restart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№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4045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мероприятия (результата),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контрольной точки</w:t>
            </w:r>
          </w:p>
        </w:tc>
        <w:tc>
          <w:tcPr>
            <w:tcW w:w="2955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Срок реализации</w:t>
            </w:r>
          </w:p>
        </w:tc>
        <w:tc>
          <w:tcPr>
            <w:tcW w:w="1895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Ответственный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исполнитель</w:t>
            </w:r>
          </w:p>
        </w:tc>
        <w:tc>
          <w:tcPr>
            <w:tcW w:w="246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Адрес объекта</w:t>
            </w:r>
          </w:p>
        </w:tc>
        <w:tc>
          <w:tcPr>
            <w:tcW w:w="2138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Вид подтверждающего документа</w:t>
            </w:r>
          </w:p>
        </w:tc>
      </w:tr>
      <w:tr>
        <w:trPr/>
        <w:tc>
          <w:tcPr>
            <w:tcW w:w="10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4045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98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начало</w:t>
            </w:r>
          </w:p>
        </w:tc>
        <w:tc>
          <w:tcPr>
            <w:tcW w:w="1457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конец</w:t>
            </w:r>
          </w:p>
        </w:tc>
        <w:tc>
          <w:tcPr>
            <w:tcW w:w="1895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46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13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4045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149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</w:t>
            </w:r>
          </w:p>
        </w:tc>
        <w:tc>
          <w:tcPr>
            <w:tcW w:w="14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</w:t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</w:t>
            </w:r>
          </w:p>
        </w:tc>
        <w:tc>
          <w:tcPr>
            <w:tcW w:w="13502" w:type="dxa"/>
            <w:gridSpan w:val="6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Обеспечение   односменного режима обучения в 1-11(12) классах общеобразовательных организаций, расположенных на территории городского округа</w:t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</w:t>
            </w:r>
          </w:p>
        </w:tc>
        <w:tc>
          <w:tcPr>
            <w:tcW w:w="13502" w:type="dxa"/>
            <w:gridSpan w:val="6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Создание новых мест в общеобразовательных организациях, расположенных на территории городского округа (г. Копейск, ул. Северная)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1.1.К.1.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Закупка включена в план-график</w:t>
            </w:r>
          </w:p>
        </w:tc>
        <w:tc>
          <w:tcPr>
            <w:tcW w:w="14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  <w:tc>
          <w:tcPr>
            <w:tcW w:w="14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План-график закупок</w:t>
            </w:r>
            <w:bookmarkStart w:id="1" w:name="_Hlk183439088"/>
            <w:bookmarkEnd w:id="1"/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1.1.К.2.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Заключение муниципального контракта</w:t>
            </w:r>
          </w:p>
        </w:tc>
        <w:tc>
          <w:tcPr>
            <w:tcW w:w="149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с 01.02</w:t>
            </w:r>
          </w:p>
        </w:tc>
        <w:tc>
          <w:tcPr>
            <w:tcW w:w="14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01.04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Муниципальный контракт</w:t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1.1.К.3.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Сведения о муниципальном контракте внесены в реестр контрактов, заключенных заказчиком</w:t>
            </w:r>
          </w:p>
        </w:tc>
        <w:tc>
          <w:tcPr>
            <w:tcW w:w="14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14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Реестр контрактов, заключенных заказчиком; наличие реестровой записи у муниципального контракта в ЕИС</w:t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1.1.К.4.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Произведена приемка выполненных работ</w:t>
            </w:r>
          </w:p>
        </w:tc>
        <w:tc>
          <w:tcPr>
            <w:tcW w:w="14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в соответствии с контрактом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31.12.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Акты о приемке выполненных работ</w:t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1.1.К.5.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Оплата выполненных работ</w:t>
            </w:r>
          </w:p>
        </w:tc>
        <w:tc>
          <w:tcPr>
            <w:tcW w:w="295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7 календарных дней со дня подписания актов выполненных работ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Платежное поручение</w:t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</w:t>
            </w:r>
          </w:p>
        </w:tc>
        <w:tc>
          <w:tcPr>
            <w:tcW w:w="13502" w:type="dxa"/>
            <w:gridSpan w:val="6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Авторский надзор, экспертное сопровождение, проведение лабораторных анализов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1.1.К.1.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Закупка включена в план-график</w:t>
            </w:r>
          </w:p>
        </w:tc>
        <w:tc>
          <w:tcPr>
            <w:tcW w:w="14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План-график закупок</w:t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1.1.К.2.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Заключение муниципального контракта</w:t>
            </w:r>
          </w:p>
        </w:tc>
        <w:tc>
          <w:tcPr>
            <w:tcW w:w="14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с 01.02</w:t>
            </w:r>
          </w:p>
        </w:tc>
        <w:tc>
          <w:tcPr>
            <w:tcW w:w="14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01.04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Муниципальный контракт</w:t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1.1.К.3.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Сведения о муниципальном контракте внесены в реестр контрактов, заключенных заказчиком</w:t>
            </w:r>
          </w:p>
        </w:tc>
        <w:tc>
          <w:tcPr>
            <w:tcW w:w="14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14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Реестр контрактов, заключенных заказчиком; наличие реестровой записи у муниципального контракта в ЕИС</w:t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1.1.К.4.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Произведена приемка выполненных работ</w:t>
            </w:r>
          </w:p>
        </w:tc>
        <w:tc>
          <w:tcPr>
            <w:tcW w:w="14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в соответствии с контрактом</w:t>
            </w:r>
          </w:p>
        </w:tc>
        <w:tc>
          <w:tcPr>
            <w:tcW w:w="14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31.12.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Акты о приемке  выполненных работ</w:t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1.1.К.5.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Оплата выполненных работ</w:t>
            </w:r>
          </w:p>
        </w:tc>
        <w:tc>
          <w:tcPr>
            <w:tcW w:w="295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7 календарных дней со дня подписания актов выполненных работ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Платежное поручение</w:t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</w:t>
            </w:r>
          </w:p>
        </w:tc>
        <w:tc>
          <w:tcPr>
            <w:tcW w:w="13502" w:type="dxa"/>
            <w:gridSpan w:val="6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Перевод обучающихся в новые здания общеобразовательных организаций из зданий с износом выше 50 процентов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2.1.</w:t>
            </w:r>
          </w:p>
        </w:tc>
        <w:tc>
          <w:tcPr>
            <w:tcW w:w="13502" w:type="dxa"/>
            <w:gridSpan w:val="6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Предоставление субсидий местным бюджетам на проведение капитальных ремонтов зданий муниципальных общеобразовательных организаций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2.1.К.1.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Закупка включена в план-график</w:t>
            </w:r>
          </w:p>
        </w:tc>
        <w:tc>
          <w:tcPr>
            <w:tcW w:w="14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</w:tc>
        <w:tc>
          <w:tcPr>
            <w:tcW w:w="14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План-график закупок</w:t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2.1.К.2.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Заключение муниципального контракта</w:t>
            </w:r>
          </w:p>
        </w:tc>
        <w:tc>
          <w:tcPr>
            <w:tcW w:w="14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с 01.02</w:t>
            </w:r>
          </w:p>
        </w:tc>
        <w:tc>
          <w:tcPr>
            <w:tcW w:w="14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01.04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Муниципальный контракт</w:t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2.1.К.3.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Сведения о муниципальном контракте внесены в реестр контрактов, заключенных заказчиком</w:t>
            </w:r>
          </w:p>
        </w:tc>
        <w:tc>
          <w:tcPr>
            <w:tcW w:w="14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14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Реестр контрактов, заключенных заказчиком; наличие реестровой записи у муниципального контракта в ЕИС</w:t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2.1.К.4.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Произведена приемка выполненных работ</w:t>
            </w:r>
          </w:p>
        </w:tc>
        <w:tc>
          <w:tcPr>
            <w:tcW w:w="14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в соответствии с контрактом</w:t>
            </w:r>
          </w:p>
        </w:tc>
        <w:tc>
          <w:tcPr>
            <w:tcW w:w="14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31.12.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Акты о приемке выполненных работ</w:t>
            </w:r>
          </w:p>
        </w:tc>
      </w:tr>
      <w:tr>
        <w:trPr/>
        <w:tc>
          <w:tcPr>
            <w:tcW w:w="1067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2.1.К.5.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Оплата выполненных работ</w:t>
            </w:r>
          </w:p>
        </w:tc>
        <w:tc>
          <w:tcPr>
            <w:tcW w:w="295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7 календарных дней со дня подписания актов выполненных работ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Платежное поручение</w:t>
            </w:r>
          </w:p>
        </w:tc>
      </w:tr>
    </w:tbl>
    <w:p>
      <w:pPr>
        <w:pStyle w:val="Normal"/>
        <w:ind w:left="360"/>
        <w:rPr/>
      </w:pPr>
      <w:r>
        <w:rPr/>
      </w:r>
    </w:p>
    <w:p>
      <w:pPr>
        <w:pStyle w:val="Normal"/>
        <w:ind w:left="360"/>
        <w:rPr/>
      </w:pPr>
      <w:r>
        <w:rPr/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администрации                                                                              М.Н. Хлынина </w:t>
      </w:r>
    </w:p>
    <w:p>
      <w:pPr>
        <w:pStyle w:val="Normal"/>
        <w:ind w:left="360"/>
        <w:rPr/>
      </w:pPr>
      <w:r>
        <w:rPr/>
      </w:r>
    </w:p>
    <w:p>
      <w:pPr>
        <w:pStyle w:val="Normal"/>
        <w:spacing w:lineRule="auto" w:line="276" w:before="0" w:after="200"/>
        <w:contextualSpacing/>
        <w:rPr/>
      </w:pPr>
      <w:r>
        <w:rPr/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orient="landscape" w:w="16838" w:h="11906"/>
      <w:pgMar w:left="1134" w:right="1134" w:gutter="0" w:header="709" w:top="766" w:footer="0" w:bottom="567"/>
      <w:pgNumType w:start="33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0"/>
        <w:jc w:val="both"/>
        <w:rPr>
          <w:rFonts w:ascii="Times New Roman" w:hAnsi="Times New Roman"/>
        </w:rPr>
      </w:pPr>
      <w:r>
        <w:rPr>
          <w:rStyle w:val="Style18"/>
        </w:rPr>
        <w:footnoteRef/>
      </w:r>
      <w:r>
        <w:rPr/>
      </w:r>
    </w:p>
  </w:footnote>
  <w:footnote w:id="3">
    <w:p>
      <w:pPr>
        <w:pStyle w:val="FootnoteText"/>
        <w:spacing w:before="0" w:after="0"/>
        <w:rPr>
          <w:rFonts w:ascii="Times New Roman" w:hAnsi="Times New Roman"/>
        </w:rPr>
      </w:pPr>
      <w:r>
        <w:rPr>
          <w:rStyle w:val="Style18"/>
        </w:rPr>
        <w:footnoteRef/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>
    <w:name w:val="Символ сноски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a60a2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F85D1-392B-4B35-AD8C-AB058B0D5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10</Pages>
  <Words>1572</Words>
  <Characters>11099</Characters>
  <CharactersWithSpaces>12618</CharactersWithSpaces>
  <Paragraphs>493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2026-02-27T08:46:00Z</dcterms:created>
  <dc:creator>n.babyrina</dc:creator>
  <dc:description/>
  <dc:language>ru-RU</dc:language>
  <cp:lastModifiedBy/>
  <cp:lastPrinted>2025-04-04T11:27:00Z</cp:lastPrinted>
  <dcterms:modified xsi:type="dcterms:W3CDTF">2026-02-27T13:59:30Z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