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pacing w:lineRule="auto" w:line="240" w:after="0"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ind w:left="0" w:right="4598" w:firstLine="0"/>
        <w:jc w:val="both"/>
        <w:spacing w:lineRule="auto" w:line="240" w:after="0" w:before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О внесении изменений и дополнений в распоряжение администрации Копейского городского округа от 01.11.2024 № 884-р</w:t>
      </w:r>
    </w:p>
    <w:p>
      <w:pPr>
        <w:pStyle w:val="Normal"/>
        <w:ind w:left="0" w:right="4598" w:firstLine="0"/>
        <w:jc w:val="both"/>
        <w:spacing w:lineRule="auto" w:line="240" w:after="0" w:before="0"/>
        <w:rPr>
          <w:rFonts w:ascii="Times New Roman" w:hAnsi="Times New Roman" w:cs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</w:r>
    </w:p>
    <w:p>
      <w:pPr>
        <w:pStyle w:val="Normal"/>
        <w:ind w:left="0" w:right="4598" w:firstLine="0"/>
        <w:jc w:val="both"/>
        <w:spacing w:lineRule="auto" w:line="240" w:after="0" w:before="0"/>
        <w:rPr>
          <w:rFonts w:ascii="Times New Roman" w:hAnsi="Times New Roman" w:cs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</w:r>
    </w:p>
    <w:p>
      <w:pPr>
        <w:pStyle w:val="Normal"/>
        <w:ind w:left="0" w:right="0" w:firstLine="680"/>
        <w:jc w:val="both"/>
        <w:spacing w:lineRule="auto" w:line="240" w:after="0" w:afterAutospacing="0" w:before="0" w:beforeAutospacing="0"/>
        <w:widowControl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ab/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решением Собрания депутатов Копейского городского округа от 30.04.2025 № 1343-МО «О внесении изменений в решение Собрания депутатов Копейского  городского округа  от 22.12.2021  № 332-МО»</w:t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, письмом финансового управления администрации Копейского городского округа от 15.05.2025               № 12101-пс</w:t>
      </w:r>
      <w:r>
        <w:rPr>
          <w:rFonts w:ascii="Times New Roman" w:hAnsi="Times New Roman" w:cs="Times New Roman" w:eastAsia="Times New Roman"/>
          <w:color w:val="000000"/>
          <w:sz w:val="27"/>
          <w:szCs w:val="27"/>
          <w:lang w:eastAsia="ru-RU"/>
        </w:rPr>
        <w:t xml:space="preserve">:</w:t>
      </w:r>
    </w:p>
    <w:p>
      <w:pPr>
        <w:pStyle w:val="Normal"/>
        <w:numPr>
          <w:numId w:val="6"/>
          <w:ilvl w:val="0"/>
        </w:numPr>
        <w:ind w:left="0" w:right="-82" w:firstLine="709"/>
        <w:jc w:val="both"/>
        <w:spacing w:lineRule="auto" w:line="240" w:after="0" w:before="0"/>
        <w:tabs>
          <w:tab w:val="clear" w:pos="708"/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Внести в муниципальную программу «Развитие субъектов малого и среднего предпринимательства в Копейском городском округе Челябинской области», утвержденную распоряжением администрации Копейского городского округа от 01.11.2024 № 884-р «Об утверждении муниципальной программы «Развитие субъектов малого и среднего предпринимательства в Копейском городском округе Челябинской области» (далее - муниципальная программа), следующие изменения и дополнения:</w:t>
      </w:r>
    </w:p>
    <w:p>
      <w:pPr>
        <w:pStyle w:val="Normal"/>
        <w:ind w:left="0" w:right="-57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z w:val="27"/>
          <w:szCs w:val="27"/>
        </w:rPr>
        <w:t xml:space="preserve">) подпункт 5 пункта 12 </w:t>
      </w: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муниципальной программы изложить в новой редакции:</w:t>
      </w:r>
    </w:p>
    <w:p>
      <w:pPr>
        <w:pStyle w:val="Normal"/>
        <w:ind w:left="0" w:right="0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«5) </w:t>
      </w:r>
      <w:r>
        <w:rPr>
          <w:rFonts w:ascii="Times New Roman" w:hAnsi="Times New Roman" w:cs="Times New Roman" w:eastAsia="Times New Roman"/>
          <w:color w:val="000000"/>
          <w:sz w:val="27"/>
          <w:szCs w:val="27"/>
          <w:lang w:eastAsia="ru-RU"/>
        </w:rPr>
        <w:t xml:space="preserve">п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редоставление субъектам льготных условий пользования землей, находящейся в муниципальной собственности.</w:t>
      </w:r>
    </w:p>
    <w:p>
      <w:pPr>
        <w:pStyle w:val="Normal"/>
        <w:ind w:left="0" w:right="0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709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Для создания благоприятных условий для осуществления инвестиционной деятельности, улучшения имиджа и привлечения инвестиций в экономику городского округа предусмотрена льгота по земельному налогу в виде:</w:t>
      </w:r>
    </w:p>
    <w:p>
      <w:pPr>
        <w:pStyle w:val="Normal"/>
        <w:ind w:left="0" w:right="0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709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а) освобождения от уплаты земельного налога:</w:t>
      </w:r>
    </w:p>
    <w:p>
      <w:pPr>
        <w:pStyle w:val="Normal"/>
        <w:ind w:left="0" w:right="0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709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- организациям, реализующим инвестиционные проекты на территории муниципального образования «Копейский городской округ»;</w:t>
      </w:r>
    </w:p>
    <w:p>
      <w:pPr>
        <w:pStyle w:val="Normal"/>
        <w:ind w:left="0" w:right="0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709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- управляющим компаниям индустриальных (промышленных) парков, включенных в реестр индустриальных (промышленных) парков и управляющих компаний индустриальных (промышленных) парков в соответствии с постановлением Правительства Российской Федерации от 04.08.2015                     № 794 «Об индустриальных (промышленных) парках и управляющих компаниях индустриальных (промышленных) парков»;</w:t>
      </w:r>
    </w:p>
    <w:p>
      <w:pPr>
        <w:pStyle w:val="Normal"/>
        <w:ind w:left="0" w:right="0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709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- инвесторам, осуществляющим капитальные вложения в создание объектов спортивной инфраструктуры массового спорта с применением механизма государственно-частного (муниципально-частного) партнерства и/или концессионных соглашений, инвестиционных соглашений, в течении пяти лет с даты ввода объекта в эксплуатацию при условии эксплуатации объекта частным партнером или концессионером;</w:t>
      </w:r>
    </w:p>
    <w:p>
      <w:pPr>
        <w:pStyle w:val="Normal"/>
        <w:ind w:left="0" w:right="0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709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б) понижение ставки по земельному налогу в отношении земельных участков занятых:</w:t>
      </w:r>
    </w:p>
    <w:p>
      <w:pPr>
        <w:pStyle w:val="Normal"/>
        <w:ind w:left="0" w:right="0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709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- объектами связи и центрами обработки данных – 0,7%;</w:t>
      </w:r>
    </w:p>
    <w:p>
      <w:pPr>
        <w:pStyle w:val="Normal"/>
        <w:ind w:left="0" w:right="0" w:firstLine="709"/>
        <w:jc w:val="both"/>
        <w:spacing w:lineRule="auto" w:line="240" w:after="0" w:before="0"/>
        <w:tabs>
          <w:tab w:val="clear" w:pos="708"/>
          <w:tab w:val="left" w:pos="709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- аэродромами и посадочными площадками, используемых для обеспечения полетов легких и сверхлегких воздушных судов – 0,3%.</w:t>
      </w:r>
    </w:p>
    <w:p>
      <w:pPr>
        <w:pStyle w:val="Normal"/>
        <w:ind w:left="0" w:right="0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Оценка применения указанной меры муниципального регулирования в сфере реализации муниципальной программы отражена в приложении 2 к муниципальной программе.»;</w:t>
      </w:r>
    </w:p>
    <w:p>
      <w:pPr>
        <w:pStyle w:val="Normal"/>
        <w:ind w:left="0" w:right="0" w:firstLine="708"/>
        <w:jc w:val="both"/>
        <w:spacing w:lineRule="auto" w:line="240" w:after="0" w:before="0"/>
        <w:tabs>
          <w:tab w:val="clear" w:pos="708"/>
          <w:tab w:val="left" w:pos="1134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sz w:val="27"/>
          <w:szCs w:val="27"/>
        </w:rPr>
        <w:t xml:space="preserve">2) приложение 2 к муниципальной программе дополнить пунктом 4 следующего содержания:</w:t>
      </w:r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</w:tblPr>
      <w:tblGrid>
        <w:gridCol w:w="610"/>
        <w:gridCol w:w="4320"/>
        <w:gridCol w:w="383"/>
        <w:gridCol w:w="336"/>
        <w:gridCol w:w="341"/>
        <w:gridCol w:w="379"/>
        <w:gridCol w:w="340"/>
        <w:gridCol w:w="376"/>
        <w:gridCol w:w="2552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10" w:type="dxa"/>
          </w:tcPr>
          <w:p>
            <w:pPr>
              <w:pStyle w:val="Style20"/>
              <w:spacing w:after="160" w:before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«4.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320" w:type="dxa"/>
          </w:tcPr>
          <w:p>
            <w:pPr>
              <w:pStyle w:val="Style20"/>
              <w:spacing w:after="160" w:before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Освобождение от уплаты земельного налога инвесторов, осуществляющих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капитальные вложения в создание объектов спортивной инфраструктуры массового спорта с применением механизма государственно-частного (муниципально-частного) партнерства и/или концессионных соглашений, инвестиционных соглашений, в течении пяти лет с даты ввода объекта в эксплуатацию при условии эксплуатации объекта частным партнером или концессионером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83" w:type="dxa"/>
          </w:tcPr>
          <w:p>
            <w:pPr>
              <w:pStyle w:val="Style20"/>
              <w:jc w:val="center"/>
              <w:spacing w:after="160" w:before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6" w:type="dxa"/>
          </w:tcPr>
          <w:p>
            <w:pPr>
              <w:pStyle w:val="Style20"/>
              <w:jc w:val="center"/>
              <w:spacing w:after="160" w:before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1" w:type="dxa"/>
          </w:tcPr>
          <w:p>
            <w:pPr>
              <w:pStyle w:val="Style20"/>
              <w:jc w:val="center"/>
              <w:spacing w:after="160" w:before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79" w:type="dxa"/>
          </w:tcPr>
          <w:p>
            <w:pPr>
              <w:pStyle w:val="Style20"/>
              <w:jc w:val="center"/>
              <w:spacing w:after="160" w:before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" w:type="dxa"/>
          </w:tcPr>
          <w:p>
            <w:pPr>
              <w:pStyle w:val="Style20"/>
              <w:jc w:val="center"/>
              <w:spacing w:after="160" w:before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76" w:type="dxa"/>
          </w:tcPr>
          <w:p>
            <w:pPr>
              <w:pStyle w:val="Style20"/>
              <w:jc w:val="center"/>
              <w:spacing w:after="160" w:before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552" w:type="dxa"/>
          </w:tcPr>
          <w:p>
            <w:pPr>
              <w:pStyle w:val="Style20"/>
              <w:spacing w:after="160" w:before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Создание благоприятных условий для осуществления инвестиционной деятельности, улучшения имиджа и привлечения инвестиций в экономику округа»</w:t>
            </w:r>
          </w:p>
        </w:tc>
      </w:tr>
    </w:tbl>
    <w:p>
      <w:pPr>
        <w:pStyle w:val="ListParagraph"/>
        <w:numPr>
          <w:numId w:val="7"/>
          <w:ilvl w:val="0"/>
        </w:numPr>
        <w:contextualSpacing w:val="true"/>
        <w:ind w:left="0" w:right="-82" w:firstLine="705"/>
        <w:jc w:val="both"/>
        <w:spacing w:lineRule="auto" w:line="240" w:after="0" w:before="0"/>
        <w:tabs>
          <w:tab w:val="clear" w:pos="708"/>
          <w:tab w:val="left" w:pos="0" w:leader="none"/>
          <w:tab w:val="left" w:pos="1134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Отделу пресс-службы администрации Копейского городского округа 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ListParagraph"/>
        <w:numPr>
          <w:numId w:val="8"/>
          <w:ilvl w:val="0"/>
        </w:numPr>
        <w:contextualSpacing w:val="true"/>
        <w:ind w:left="0" w:right="-57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0" w:leader="none"/>
          <w:tab w:val="left" w:pos="1134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7"/>
          <w:szCs w:val="27"/>
          <w:lang w:eastAsia="ru-RU"/>
        </w:rPr>
        <w:t xml:space="preserve">Контроль исполнения настоящего распоряжения возложить на </w:t>
      </w: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заместителя Главы Копейского городского округа по финансам и экономике Пескову О.М.</w:t>
      </w:r>
    </w:p>
    <w:p>
      <w:pPr>
        <w:pStyle w:val="ListParagraph"/>
        <w:numPr>
          <w:numId w:val="9"/>
          <w:ilvl w:val="0"/>
        </w:numPr>
        <w:contextualSpacing w:val="true"/>
        <w:ind w:left="0" w:right="-57" w:firstLine="737"/>
        <w:jc w:val="both"/>
        <w:spacing w:lineRule="auto" w:line="240" w:after="0" w:afterAutospacing="0" w:before="0" w:beforeAutospacing="0"/>
        <w:widowControl/>
        <w:tabs>
          <w:tab w:val="clear" w:pos="708"/>
          <w:tab w:val="left" w:pos="0" w:leader="none"/>
          <w:tab w:val="left" w:pos="1134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Настоящее распоряжение вступает в силу </w:t>
      </w:r>
      <w:r>
        <w:rPr>
          <w:rFonts w:ascii="Times New Roman" w:hAnsi="Times New Roman" w:cs="Times New Roman" w:eastAsia="Times New Roman"/>
          <w:sz w:val="27"/>
          <w:szCs w:val="27"/>
          <w:lang w:val="en-US" w:eastAsia="ru-RU"/>
        </w:rPr>
        <w:t xml:space="preserve">cо дня подписания</w:t>
      </w: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.</w:t>
      </w:r>
    </w:p>
    <w:p>
      <w:pPr>
        <w:pStyle w:val="Normal"/>
        <w:jc w:val="both"/>
        <w:spacing w:lineRule="auto" w:line="240" w:after="0" w:before="0"/>
        <w:rPr>
          <w:rFonts w:ascii="Times New Roman" w:hAnsi="Times New Roman" w:cs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</w:r>
    </w:p>
    <w:p>
      <w:pPr>
        <w:pStyle w:val="Normal"/>
        <w:jc w:val="both"/>
        <w:spacing w:lineRule="auto" w:line="240" w:after="0" w:before="0"/>
        <w:rPr>
          <w:rFonts w:ascii="Times New Roman" w:hAnsi="Times New Roman" w:cs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</w:r>
    </w:p>
    <w:p>
      <w:pPr>
        <w:pStyle w:val="Normal"/>
        <w:jc w:val="both"/>
        <w:spacing w:lineRule="auto" w:line="240" w:after="0" w:before="0"/>
        <w:rPr>
          <w:rFonts w:ascii="Times New Roman" w:hAnsi="Times New Roman" w:cs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</w:r>
    </w:p>
    <w:p>
      <w:pPr>
        <w:pStyle w:val="Normal"/>
        <w:jc w:val="both"/>
        <w:spacing w:lineRule="auto" w:line="240" w:after="0" w:before="0"/>
        <w:tabs>
          <w:tab w:val="clear" w:pos="708"/>
          <w:tab w:val="left" w:pos="3960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Глава городского округа                                                                           С.В. Логанова</w:t>
      </w:r>
    </w:p>
    <w:sectPr>
      <w:headerReference w:type="default" r:id="rId7"/>
      <w:headerReference w:type="first" r:id="rId8"/>
      <w:footerReference w:type="first" r:id="rId9"/>
      <w:type w:val="nextPage"/>
      <w:pgSz w:w="11906" w:h="16838"/>
      <w:pgMar w:top="1134" w:right="567" w:bottom="1134" w:left="1701" w:header="709" w:footer="709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B0604020202020204"/>
  </w:font>
  <w:font w:name="Tahoma">
    <w:panose1 w:val="020B0604030504040204"/>
  </w:font>
  <w:font w:name="Noto Sans Devanagari">
    <w:panose1 w:val="020B0604020202020204"/>
  </w:font>
  <w:font w:name="Lohit Devanagari">
    <w:panose1 w:val="020B0604020202020204"/>
  </w:font>
  <w:font w:name="Open Sans">
    <w:panose1 w:val="020B0606030504020204"/>
  </w:font>
  <w:font w:name="Times New Roman">
    <w:panose1 w:val="02020603050405020304"/>
  </w:font>
  <w:font w:name="Segoe UI">
    <w:panose1 w:val="020B0502040204020203"/>
  </w:font>
  <w:font w:name="Liberation Serif">
    <w:panose1 w:val="020B0604020202020204"/>
  </w:font>
  <w:font w:name="Arial">
    <w:panose1 w:val="020B0604020202020204"/>
  </w:font>
  <w:font w:name="Droid Sans Fallback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tabs>
        <w:tab w:val="clear" w:pos="4677"/>
        <w:tab w:val="clear" w:pos="9355"/>
      </w:tabs>
    </w:pPr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  <w:tabs>
        <w:tab w:val="clear" w:pos="4677"/>
        <w:tab w:val="clear" w:pos="9355"/>
      </w:tabs>
      <w:rPr>
        <w:rFonts w:ascii="Times New Roman" w:hAnsi="Times New Roman" w:cs="Times New Roman" w:eastAsia="Times New Roman"/>
        <w:sz w:val="28"/>
      </w:rPr>
    </w:pPr>
    <w:r>
      <w:rPr>
        <w:rFonts w:ascii="Times New Roman" w:hAnsi="Times New Roman" w:cs="Times New Roman" w:eastAsia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  <w:tabs>
        <w:tab w:val="clear" w:pos="4677"/>
        <w:tab w:val="clear" w:pos="9355"/>
      </w:tabs>
    </w:pPr>
    <w:r/>
  </w:p>
  <w:p>
    <w:pPr>
      <w:pStyle w:val="Header"/>
      <w:tabs>
        <w:tab w:val="clear" w:pos="4677"/>
        <w:tab w:val="clear" w:pos="9355"/>
      </w:tabs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multiLevelType w:val="hybridMultilevel"/>
    <w:lvl w:ilvl="0">
      <w:start w:val="1"/>
      <w:numFmt w:val="decimal"/>
      <w:lvlText w:val="%1."/>
      <w:lvlJc w:val="left"/>
      <w:pPr>
        <w:ind w:left="1455" w:hanging="750"/>
        <w:tabs>
          <w:tab w:val="left" w:pos="1455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5" w:hanging="360"/>
        <w:tabs>
          <w:tab w:val="left" w:pos="1785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5" w:hanging="180"/>
        <w:tabs>
          <w:tab w:val="left" w:pos="2505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5" w:hanging="360"/>
        <w:tabs>
          <w:tab w:val="left" w:pos="3225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5" w:hanging="360"/>
        <w:tabs>
          <w:tab w:val="left" w:pos="3945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5" w:hanging="180"/>
        <w:tabs>
          <w:tab w:val="left" w:pos="4665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5" w:hanging="360"/>
        <w:tabs>
          <w:tab w:val="left" w:pos="5385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5" w:hanging="360"/>
        <w:tabs>
          <w:tab w:val="left" w:pos="6105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5" w:hanging="180"/>
        <w:tabs>
          <w:tab w:val="left" w:pos="6825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55" w:hanging="750"/>
        <w:tabs>
          <w:tab w:val="left" w:pos="1455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5" w:hanging="360"/>
        <w:tabs>
          <w:tab w:val="left" w:pos="1785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5" w:hanging="180"/>
        <w:tabs>
          <w:tab w:val="left" w:pos="2505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5" w:hanging="360"/>
        <w:tabs>
          <w:tab w:val="left" w:pos="3225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5" w:hanging="360"/>
        <w:tabs>
          <w:tab w:val="left" w:pos="3945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5" w:hanging="180"/>
        <w:tabs>
          <w:tab w:val="left" w:pos="4665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5" w:hanging="360"/>
        <w:tabs>
          <w:tab w:val="left" w:pos="5385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5" w:hanging="360"/>
        <w:tabs>
          <w:tab w:val="left" w:pos="6105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5" w:hanging="180"/>
        <w:tabs>
          <w:tab w:val="left" w:pos="6825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455" w:hanging="750"/>
        <w:tabs>
          <w:tab w:val="left" w:pos="1455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5" w:hanging="360"/>
        <w:tabs>
          <w:tab w:val="left" w:pos="1785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5" w:hanging="180"/>
        <w:tabs>
          <w:tab w:val="left" w:pos="2505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5" w:hanging="360"/>
        <w:tabs>
          <w:tab w:val="left" w:pos="3225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5" w:hanging="360"/>
        <w:tabs>
          <w:tab w:val="left" w:pos="3945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5" w:hanging="180"/>
        <w:tabs>
          <w:tab w:val="left" w:pos="4665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5" w:hanging="360"/>
        <w:tabs>
          <w:tab w:val="left" w:pos="5385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5" w:hanging="360"/>
        <w:tabs>
          <w:tab w:val="left" w:pos="6105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5" w:hanging="180"/>
        <w:tabs>
          <w:tab w:val="left" w:pos="6825"/>
        </w:tabs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55" w:hanging="750"/>
        <w:tabs>
          <w:tab w:val="left" w:pos="1455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5" w:hanging="360"/>
        <w:tabs>
          <w:tab w:val="left" w:pos="1785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5" w:hanging="180"/>
        <w:tabs>
          <w:tab w:val="left" w:pos="2505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5" w:hanging="360"/>
        <w:tabs>
          <w:tab w:val="left" w:pos="3225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5" w:hanging="360"/>
        <w:tabs>
          <w:tab w:val="left" w:pos="3945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5" w:hanging="180"/>
        <w:tabs>
          <w:tab w:val="left" w:pos="4665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5" w:hanging="360"/>
        <w:tabs>
          <w:tab w:val="left" w:pos="5385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5" w:hanging="360"/>
        <w:tabs>
          <w:tab w:val="left" w:pos="6105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5" w:hanging="180"/>
        <w:tabs>
          <w:tab w:val="left" w:pos="6825"/>
        </w:tabs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none"/>
      <w:suff w:val="nothing"/>
      <w:lvlText w:val=""/>
      <w:lvlJc w:val="left"/>
      <w:pPr>
        <w:ind w:left="0" w:firstLine="0"/>
        <w:tabs>
          <w:tab w:val="left" w:pos="0"/>
        </w:tabs>
      </w:pPr>
    </w:lvl>
    <w:lvl w:ilvl="1">
      <w:start w:val="1"/>
      <w:numFmt w:val="none"/>
      <w:suff w:val="nothing"/>
      <w:lvlText w:val=""/>
      <w:lvlJc w:val="left"/>
      <w:pPr>
        <w:ind w:left="0" w:firstLine="0"/>
        <w:tabs>
          <w:tab w:val="left" w:pos="0"/>
        </w:tabs>
      </w:pPr>
    </w:lvl>
    <w:lvl w:ilvl="2">
      <w:start w:val="1"/>
      <w:numFmt w:val="none"/>
      <w:suff w:val="nothing"/>
      <w:lvlText w:val=""/>
      <w:lvlJc w:val="left"/>
      <w:pPr>
        <w:ind w:left="0" w:firstLine="0"/>
        <w:tabs>
          <w:tab w:val="left" w:pos="0"/>
        </w:tabs>
      </w:pPr>
    </w:lvl>
    <w:lvl w:ilvl="3">
      <w:start w:val="1"/>
      <w:numFmt w:val="none"/>
      <w:suff w:val="nothing"/>
      <w:lvlText w:val=""/>
      <w:lvlJc w:val="left"/>
      <w:pPr>
        <w:ind w:left="0" w:firstLine="0"/>
        <w:tabs>
          <w:tab w:val="left" w:pos="0"/>
        </w:tabs>
      </w:pPr>
    </w:lvl>
    <w:lvl w:ilvl="4">
      <w:start w:val="1"/>
      <w:numFmt w:val="none"/>
      <w:suff w:val="nothing"/>
      <w:lvlText w:val=""/>
      <w:lvlJc w:val="left"/>
      <w:pPr>
        <w:ind w:left="0" w:firstLine="0"/>
        <w:tabs>
          <w:tab w:val="left" w:pos="0"/>
        </w:tabs>
      </w:pPr>
    </w:lvl>
    <w:lvl w:ilvl="5">
      <w:start w:val="1"/>
      <w:numFmt w:val="none"/>
      <w:suff w:val="nothing"/>
      <w:lvlText w:val=""/>
      <w:lvlJc w:val="left"/>
      <w:pPr>
        <w:ind w:left="0" w:firstLine="0"/>
        <w:tabs>
          <w:tab w:val="left" w:pos="0"/>
        </w:tabs>
      </w:pPr>
    </w:lvl>
    <w:lvl w:ilvl="6">
      <w:start w:val="1"/>
      <w:numFmt w:val="none"/>
      <w:suff w:val="nothing"/>
      <w:lvlText w:val=""/>
      <w:lvlJc w:val="left"/>
      <w:pPr>
        <w:ind w:left="0" w:firstLine="0"/>
        <w:tabs>
          <w:tab w:val="left" w:pos="0"/>
        </w:tabs>
      </w:pPr>
    </w:lvl>
    <w:lvl w:ilvl="7">
      <w:start w:val="1"/>
      <w:numFmt w:val="none"/>
      <w:suff w:val="nothing"/>
      <w:lvlText w:val=""/>
      <w:lvlJc w:val="left"/>
      <w:pPr>
        <w:ind w:left="0" w:firstLine="0"/>
        <w:tabs>
          <w:tab w:val="left" w:pos="0"/>
        </w:tabs>
      </w:pPr>
    </w:lvl>
    <w:lvl w:ilvl="8">
      <w:start w:val="1"/>
      <w:numFmt w:val="none"/>
      <w:suff w:val="nothing"/>
      <w:lvlText w:val=""/>
      <w:lvlJc w:val="left"/>
      <w:pPr>
        <w:ind w:left="0" w:firstLine="0"/>
        <w:tabs>
          <w:tab w:val="left" w:pos="0"/>
        </w:tabs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defaultTabStop w:val="708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Pr>
      <w:rFonts w:ascii="Calibri" w:hAnsi="Calibri" w:cs="Calibri" w:eastAsia="Calibri"/>
      <w:color w:val="000000"/>
      <w:spacing w:val="0"/>
      <w:sz w:val="22"/>
      <w:szCs w:val="22"/>
      <w:shd w:val="clear" w:color="auto" w:fill="FFFFFF"/>
      <w:lang w:val="ru-RU" w:bidi="ar-SA" w:eastAsia="en-US"/>
    </w:rPr>
    <w:pPr>
      <w:ind w:left="0" w:right="0" w:firstLine="0"/>
      <w:jc w:val="left"/>
      <w:spacing w:lineRule="auto" w:line="259" w:after="160" w:afterAutospacing="0" w:before="0" w:beforeAutospacing="0"/>
      <w:shd w:val="nil" w:color="auto" w:fill="FFFFFF"/>
      <w:widowControl/>
    </w:pPr>
  </w:style>
  <w:style w:type="paragraph" w:styleId="Heading1">
    <w:name w:val="Heading 1"/>
    <w:basedOn w:val="Normal"/>
    <w:next w:val="Normal"/>
    <w:link w:val="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Heading2">
    <w:name w:val="Heading 2"/>
    <w:basedOn w:val="Normal"/>
    <w:next w:val="Normal"/>
    <w:link w:val="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Heading3">
    <w:name w:val="Heading 3"/>
    <w:basedOn w:val="Normal"/>
    <w:next w:val="Normal"/>
    <w:link w:val="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Heading4">
    <w:name w:val="Heading 4"/>
    <w:basedOn w:val="Normal"/>
    <w:next w:val="Normal"/>
    <w:link w:val="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Heading5">
    <w:name w:val="Heading 5"/>
    <w:basedOn w:val="Normal"/>
    <w:next w:val="Normal"/>
    <w:link w:val="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Heading6">
    <w:name w:val="Heading 6"/>
    <w:basedOn w:val="Normal"/>
    <w:next w:val="Normal"/>
    <w:link w:val="6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Heading7">
    <w:name w:val="Heading 7"/>
    <w:basedOn w:val="Normal"/>
    <w:next w:val="Normal"/>
    <w:link w:val="7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Heading8">
    <w:name w:val="Heading 8"/>
    <w:basedOn w:val="Normal"/>
    <w:next w:val="Normal"/>
    <w:link w:val="8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Heading9">
    <w:name w:val="Heading 9"/>
    <w:basedOn w:val="Normal"/>
    <w:next w:val="Normal"/>
    <w:link w:val="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DefaultParagraphFont" w:default="1">
    <w:name w:val="Default Paragraph Font"/>
    <w:qFormat/>
    <w:uiPriority w:val="1"/>
    <w:semiHidden/>
    <w:unhideWhenUsed/>
  </w:style>
  <w:style w:type="character" w:styleId="Heading1Char" w:customStyle="1">
    <w:name w:val="Heading 1 Char"/>
    <w:basedOn w:val="DefaultParagraphFont"/>
    <w:qFormat/>
    <w:uiPriority w:val="9"/>
    <w:rPr>
      <w:rFonts w:ascii="Arial" w:hAnsi="Arial" w:cs="Arial" w:eastAsia="Arial"/>
      <w:sz w:val="40"/>
      <w:szCs w:val="40"/>
    </w:rPr>
  </w:style>
  <w:style w:type="character" w:styleId="Heading2Char" w:customStyle="1">
    <w:name w:val="Heading 2 Char"/>
    <w:basedOn w:val="DefaultParagraphFont"/>
    <w:qFormat/>
    <w:uiPriority w:val="9"/>
    <w:rPr>
      <w:rFonts w:ascii="Arial" w:hAnsi="Arial" w:cs="Arial" w:eastAsia="Arial"/>
      <w:sz w:val="34"/>
    </w:rPr>
  </w:style>
  <w:style w:type="character" w:styleId="Heading3Char" w:customStyle="1">
    <w:name w:val="Heading 3 Char"/>
    <w:basedOn w:val="DefaultParagraphFont"/>
    <w:qFormat/>
    <w:uiPriority w:val="9"/>
    <w:rPr>
      <w:rFonts w:ascii="Arial" w:hAnsi="Arial" w:cs="Arial" w:eastAsia="Arial"/>
      <w:sz w:val="30"/>
      <w:szCs w:val="30"/>
    </w:rPr>
  </w:style>
  <w:style w:type="character" w:styleId="Heading4Char" w:customStyle="1">
    <w:name w:val="Heading 4 Char"/>
    <w:basedOn w:val="DefaultParagraphFont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TitleChar" w:customStyle="1">
    <w:name w:val="Title Char"/>
    <w:basedOn w:val="DefaultParagraphFont"/>
    <w:qFormat/>
    <w:uiPriority w:val="10"/>
    <w:rPr>
      <w:sz w:val="48"/>
      <w:szCs w:val="48"/>
    </w:rPr>
  </w:style>
  <w:style w:type="character" w:styleId="SubtitleChar" w:customStyle="1">
    <w:name w:val="Subtitle Char"/>
    <w:basedOn w:val="DefaultParagraphFont"/>
    <w:qFormat/>
    <w:uiPriority w:val="11"/>
    <w:rPr>
      <w:sz w:val="24"/>
      <w:szCs w:val="24"/>
    </w:rPr>
  </w:style>
  <w:style w:type="character" w:styleId="QuoteChar" w:customStyle="1">
    <w:name w:val="Quote Char"/>
    <w:qFormat/>
    <w:uiPriority w:val="29"/>
    <w:rPr>
      <w:i/>
    </w:rPr>
  </w:style>
  <w:style w:type="character" w:styleId="IntenseQuoteChar" w:customStyle="1">
    <w:name w:val="Intense Quote Char"/>
    <w:qFormat/>
    <w:uiPriority w:val="30"/>
    <w:rPr>
      <w:i/>
    </w:rPr>
  </w:style>
  <w:style w:type="character" w:styleId="FootnoteTextChar" w:customStyle="1">
    <w:name w:val="Footnote Text Char"/>
    <w:qFormat/>
    <w:uiPriority w:val="99"/>
    <w:rPr>
      <w:sz w:val="18"/>
    </w:rPr>
  </w:style>
  <w:style w:type="character" w:styleId="1" w:customStyle="1">
    <w:name w:val="Заголовок 1 Знак"/>
    <w:basedOn w:val="DefaultParagraphFont"/>
    <w:qFormat/>
    <w:uiPriority w:val="9"/>
    <w:rPr>
      <w:rFonts w:ascii="Arial" w:hAnsi="Arial" w:cs="Arial" w:eastAsia="Arial"/>
      <w:sz w:val="40"/>
      <w:szCs w:val="40"/>
    </w:rPr>
  </w:style>
  <w:style w:type="character" w:styleId="2" w:customStyle="1">
    <w:name w:val="Заголовок 2 Знак"/>
    <w:basedOn w:val="DefaultParagraphFont"/>
    <w:qFormat/>
    <w:uiPriority w:val="9"/>
    <w:rPr>
      <w:rFonts w:ascii="Arial" w:hAnsi="Arial" w:cs="Arial" w:eastAsia="Arial"/>
      <w:sz w:val="34"/>
    </w:rPr>
  </w:style>
  <w:style w:type="character" w:styleId="3" w:customStyle="1">
    <w:name w:val="Заголовок 3 Знак"/>
    <w:basedOn w:val="DefaultParagraphFont"/>
    <w:qFormat/>
    <w:uiPriority w:val="9"/>
    <w:rPr>
      <w:rFonts w:ascii="Arial" w:hAnsi="Arial" w:cs="Arial" w:eastAsia="Arial"/>
      <w:sz w:val="30"/>
      <w:szCs w:val="30"/>
    </w:rPr>
  </w:style>
  <w:style w:type="character" w:styleId="4" w:customStyle="1">
    <w:name w:val="Заголовок 4 Знак"/>
    <w:basedOn w:val="DefaultParagraphFont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qFormat/>
    <w:uiPriority w:val="10"/>
    <w:rPr>
      <w:sz w:val="48"/>
      <w:szCs w:val="48"/>
    </w:rPr>
  </w:style>
  <w:style w:type="character" w:styleId="Style6" w:customStyle="1">
    <w:name w:val="Подзаголовок Знак"/>
    <w:basedOn w:val="DefaultParagraphFont"/>
    <w:qFormat/>
    <w:uiPriority w:val="11"/>
    <w:rPr>
      <w:sz w:val="24"/>
      <w:szCs w:val="24"/>
    </w:rPr>
  </w:style>
  <w:style w:type="character" w:styleId="21" w:customStyle="1">
    <w:name w:val="Цитата 2 Знак"/>
    <w:link w:val="Quote"/>
    <w:qFormat/>
    <w:uiPriority w:val="29"/>
    <w:rPr>
      <w:i/>
    </w:rPr>
  </w:style>
  <w:style w:type="character" w:styleId="Style7" w:customStyle="1">
    <w:name w:val="Выделенная цитата Знак"/>
    <w:link w:val="IntenseQuote"/>
    <w:qFormat/>
    <w:uiPriority w:val="30"/>
    <w:rPr>
      <w:i/>
    </w:rPr>
  </w:style>
  <w:style w:type="character" w:styleId="HeaderChar" w:customStyle="1">
    <w:name w:val="Header Char"/>
    <w:basedOn w:val="DefaultParagraphFont"/>
    <w:qFormat/>
    <w:uiPriority w:val="99"/>
  </w:style>
  <w:style w:type="character" w:styleId="FooterChar" w:customStyle="1">
    <w:name w:val="Footer Char"/>
    <w:basedOn w:val="DefaultParagraphFont"/>
    <w:qFormat/>
    <w:uiPriority w:val="99"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styleId="Style8" w:customStyle="1">
    <w:name w:val="Текст сноски Знак"/>
    <w:qFormat/>
    <w:uiPriority w:val="99"/>
    <w:rPr>
      <w:sz w:val="18"/>
    </w:rPr>
  </w:style>
  <w:style w:type="character" w:styleId="Style9">
    <w:name w:val="Символ сноски"/>
    <w:qFormat/>
    <w:uiPriority w:val="99"/>
    <w:unhideWhenUsed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Верхний колонтитул Знак"/>
    <w:basedOn w:val="DefaultParagraphFont"/>
    <w:qFormat/>
    <w:uiPriority w:val="99"/>
  </w:style>
  <w:style w:type="character" w:styleId="Style11" w:customStyle="1">
    <w:name w:val="Нижний колонтитул Знак"/>
    <w:basedOn w:val="DefaultParagraphFont"/>
    <w:qFormat/>
    <w:uiPriority w:val="99"/>
  </w:style>
  <w:style w:type="character" w:styleId="Style12" w:customStyle="1">
    <w:name w:val="Текст выноски Знак"/>
    <w:basedOn w:val="DefaultParagraphFont"/>
    <w:link w:val="BalloonText"/>
    <w:qFormat/>
    <w:uiPriority w:val="99"/>
    <w:semiHidden/>
    <w:rPr>
      <w:rFonts w:ascii="Segoe UI" w:hAnsi="Segoe UI" w:cs="Segoe UI"/>
      <w:sz w:val="18"/>
      <w:szCs w:val="18"/>
    </w:rPr>
  </w:style>
  <w:style w:type="character" w:styleId="Style13">
    <w:name w:val="Гипертекстовая ссылка"/>
    <w:qFormat/>
    <w:rPr>
      <w:rFonts w:ascii="Times New Roman" w:hAnsi="Times New Roman" w:cs="Times New Roman" w:eastAsia="Times New Roman"/>
      <w:b w:val="false"/>
      <w:color w:val="106BBE"/>
      <w:sz w:val="24"/>
      <w:szCs w:val="24"/>
    </w:rPr>
  </w:style>
  <w:style w:type="character" w:styleId="Style14">
    <w:name w:val="Цветовое выделение"/>
    <w:qFormat/>
    <w:rPr>
      <w:b/>
      <w:color w:val="26282F"/>
    </w:rPr>
  </w:style>
  <w:style w:type="character" w:styleId="EndnoteCharacters">
    <w:name w:val="Endnote Characters"/>
    <w:qFormat/>
    <w:rPr>
      <w:rFonts w:ascii="Times New Roman" w:hAnsi="Times New Roman" w:cs="Times New Roman" w:eastAsia="Times New Roman"/>
      <w:color w:val="000000"/>
      <w:sz w:val="24"/>
      <w:szCs w:val="24"/>
      <w:vertAlign w:val="superscript"/>
    </w:rPr>
  </w:style>
  <w:style w:type="character" w:styleId="Style15">
    <w:name w:val="Текст концевой сноски Знак"/>
    <w:qFormat/>
    <w:rPr>
      <w:sz w:val="20"/>
    </w:rPr>
  </w:style>
  <w:style w:type="character" w:styleId="FootnoteCharacters">
    <w:name w:val="Footnote Characters"/>
    <w:qFormat/>
    <w:rPr>
      <w:rFonts w:ascii="Times New Roman" w:hAnsi="Times New Roman" w:cs="Times New Roman" w:eastAsia="Times New Roman"/>
      <w:color w:val="000000"/>
      <w:sz w:val="24"/>
      <w:szCs w:val="24"/>
      <w:vertAlign w:val="superscript"/>
    </w:rPr>
  </w:style>
  <w:style w:type="character" w:styleId="211">
    <w:name w:val="Заголовок 2 Знак1"/>
    <w:qFormat/>
    <w:rPr>
      <w:rFonts w:ascii="Arial" w:hAnsi="Arial" w:cs="Arial" w:eastAsia="Arial"/>
      <w:color w:val="000000"/>
      <w:sz w:val="34"/>
      <w:szCs w:val="24"/>
    </w:rPr>
  </w:style>
  <w:style w:type="character" w:styleId="11">
    <w:name w:val="Заголовок 1 Знак1"/>
    <w:qFormat/>
    <w:rPr>
      <w:rFonts w:ascii="Arial" w:hAnsi="Arial" w:cs="Arial" w:eastAsia="Arial"/>
      <w:color w:val="000000"/>
      <w:sz w:val="40"/>
      <w:szCs w:val="40"/>
    </w:rPr>
  </w:style>
  <w:style w:type="paragraph" w:styleId="Style16">
    <w:name w:val="Заголовок"/>
    <w:basedOn w:val="Normal"/>
    <w:next w:val="BodyText"/>
    <w:qFormat/>
    <w:rPr>
      <w:rFonts w:ascii="Open Sans" w:hAnsi="Open Sans" w:cs="Lohit Devanagari" w:eastAsia="Droid Sans Fallback"/>
      <w:sz w:val="28"/>
      <w:szCs w:val="28"/>
    </w:rPr>
    <w:pPr>
      <w:keepNext/>
      <w:spacing w:after="120" w:before="240"/>
    </w:pPr>
  </w:style>
  <w:style w:type="paragraph" w:styleId="BodyText">
    <w:name w:val="Body Text"/>
    <w:basedOn w:val="Normal"/>
    <w:pPr>
      <w:spacing w:lineRule="auto" w:line="276" w:after="140" w:before="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rPr>
      <w:rFonts w:cs="Lohit Devanagari"/>
      <w:i/>
      <w:iCs/>
      <w:sz w:val="24"/>
      <w:szCs w:val="24"/>
    </w:rPr>
    <w:pPr>
      <w:spacing w:after="120" w:before="120"/>
    </w:pPr>
  </w:style>
  <w:style w:type="paragraph" w:styleId="Style17">
    <w:name w:val="Указатель"/>
    <w:basedOn w:val="Normal"/>
    <w:qFormat/>
    <w:rPr>
      <w:rFonts w:cs="Lohit Devanagari"/>
    </w:rPr>
  </w:style>
  <w:style w:type="paragraph" w:styleId="NoSpacing">
    <w:name w:val="No Spacing"/>
    <w:qFormat/>
    <w:uiPriority w:val="1"/>
    <w:rPr>
      <w:rFonts w:ascii="Calibri" w:hAnsi="Calibri" w:cs="Calibri" w:eastAsia="Calibri"/>
      <w:color w:val="000000"/>
      <w:spacing w:val="0"/>
      <w:sz w:val="22"/>
      <w:szCs w:val="22"/>
      <w:shd w:val="clear" w:color="auto" w:fill="FFFFFF"/>
      <w:lang w:val="ru-RU" w:bidi="ar-SA" w:eastAsia="en-US"/>
    </w:rPr>
    <w:pPr>
      <w:ind w:left="0" w:right="0" w:firstLine="0"/>
      <w:jc w:val="left"/>
      <w:spacing w:lineRule="auto" w:line="240" w:after="0" w:afterAutospacing="0" w:before="0" w:beforeAutospacing="0"/>
      <w:shd w:val="nil" w:color="auto" w:fill="FFFFFF"/>
      <w:widowControl/>
    </w:pPr>
  </w:style>
  <w:style w:type="paragraph" w:styleId="Title">
    <w:name w:val="Title"/>
    <w:basedOn w:val="Normal"/>
    <w:next w:val="Normal"/>
    <w:link w:val="Style5"/>
    <w:qFormat/>
    <w:uiPriority w:val="10"/>
    <w:rPr>
      <w:sz w:val="48"/>
      <w:szCs w:val="48"/>
    </w:rPr>
    <w:pPr>
      <w:contextualSpacing w:val="true"/>
      <w:spacing w:after="200" w:before="300"/>
    </w:pPr>
  </w:style>
  <w:style w:type="paragraph" w:styleId="Subtitle">
    <w:name w:val="Subtitle"/>
    <w:basedOn w:val="Normal"/>
    <w:next w:val="Normal"/>
    <w:link w:val="Style6"/>
    <w:qFormat/>
    <w:uiPriority w:val="11"/>
    <w:rPr>
      <w:sz w:val="24"/>
      <w:szCs w:val="24"/>
    </w:rPr>
    <w:pPr>
      <w:spacing w:after="200" w:before="200"/>
    </w:pPr>
  </w:style>
  <w:style w:type="paragraph" w:styleId="Quote">
    <w:name w:val="Quote"/>
    <w:basedOn w:val="Normal"/>
    <w:next w:val="Normal"/>
    <w:link w:val="21"/>
    <w:qFormat/>
    <w:uiPriority w:val="29"/>
    <w:rPr>
      <w:i/>
    </w:rPr>
    <w:pPr>
      <w:ind w:left="720" w:right="720"/>
    </w:pPr>
  </w:style>
  <w:style w:type="paragraph" w:styleId="IntenseQuote">
    <w:name w:val="Intense Quote"/>
    <w:basedOn w:val="Normal"/>
    <w:next w:val="Normal"/>
    <w:link w:val="Style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FootnoteText">
    <w:name w:val="Footnote Text"/>
    <w:basedOn w:val="Normal"/>
    <w:link w:val="Style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TOC1">
    <w:name w:val="TOC 1"/>
    <w:basedOn w:val="Normal"/>
    <w:next w:val="Normal"/>
    <w:uiPriority w:val="39"/>
    <w:unhideWhenUsed/>
    <w:pPr>
      <w:spacing w:after="57" w:before="0"/>
    </w:pPr>
  </w:style>
  <w:style w:type="paragraph" w:styleId="TOC2">
    <w:name w:val="TOC 2"/>
    <w:basedOn w:val="Normal"/>
    <w:next w:val="Normal"/>
    <w:uiPriority w:val="39"/>
    <w:unhideWhenUsed/>
    <w:pPr>
      <w:ind w:left="283"/>
      <w:spacing w:after="57" w:before="0"/>
    </w:pPr>
  </w:style>
  <w:style w:type="paragraph" w:styleId="TOC3">
    <w:name w:val="TOC 3"/>
    <w:basedOn w:val="Normal"/>
    <w:next w:val="Normal"/>
    <w:uiPriority w:val="39"/>
    <w:unhideWhenUsed/>
    <w:pPr>
      <w:ind w:left="567"/>
      <w:spacing w:after="57" w:before="0"/>
    </w:pPr>
  </w:style>
  <w:style w:type="paragraph" w:styleId="TOC4">
    <w:name w:val="TOC 4"/>
    <w:basedOn w:val="Normal"/>
    <w:next w:val="Normal"/>
    <w:uiPriority w:val="39"/>
    <w:unhideWhenUsed/>
    <w:pPr>
      <w:ind w:left="850"/>
      <w:spacing w:after="57" w:before="0"/>
    </w:pPr>
  </w:style>
  <w:style w:type="paragraph" w:styleId="TOC5">
    <w:name w:val="TOC 5"/>
    <w:basedOn w:val="Normal"/>
    <w:next w:val="Normal"/>
    <w:uiPriority w:val="39"/>
    <w:unhideWhenUsed/>
    <w:pPr>
      <w:ind w:left="1134"/>
      <w:spacing w:after="57" w:before="0"/>
    </w:pPr>
  </w:style>
  <w:style w:type="paragraph" w:styleId="TOC6">
    <w:name w:val="TOC 6"/>
    <w:basedOn w:val="Normal"/>
    <w:next w:val="Normal"/>
    <w:uiPriority w:val="39"/>
    <w:unhideWhenUsed/>
    <w:pPr>
      <w:ind w:left="1417"/>
      <w:spacing w:after="57" w:before="0"/>
    </w:pPr>
  </w:style>
  <w:style w:type="paragraph" w:styleId="TOC7">
    <w:name w:val="TOC 7"/>
    <w:basedOn w:val="Normal"/>
    <w:next w:val="Normal"/>
    <w:uiPriority w:val="39"/>
    <w:unhideWhenUsed/>
    <w:pPr>
      <w:ind w:left="1701"/>
      <w:spacing w:after="57" w:before="0"/>
    </w:pPr>
  </w:style>
  <w:style w:type="paragraph" w:styleId="TOC8">
    <w:name w:val="TOC 8"/>
    <w:basedOn w:val="Normal"/>
    <w:next w:val="Normal"/>
    <w:uiPriority w:val="39"/>
    <w:unhideWhenUsed/>
    <w:pPr>
      <w:ind w:left="1984"/>
      <w:spacing w:after="57" w:before="0"/>
    </w:pPr>
  </w:style>
  <w:style w:type="paragraph" w:styleId="TOC9">
    <w:name w:val="TOC 9"/>
    <w:basedOn w:val="Normal"/>
    <w:next w:val="Normal"/>
    <w:uiPriority w:val="39"/>
    <w:unhideWhenUsed/>
    <w:pPr>
      <w:ind w:left="2268"/>
      <w:spacing w:after="57" w:before="0"/>
    </w:pPr>
  </w:style>
  <w:style w:type="paragraph" w:styleId="IndexHeading">
    <w:name w:val="Index Heading"/>
    <w:basedOn w:val="Style16"/>
  </w:style>
  <w:style w:type="paragraph" w:styleId="TOCHeading">
    <w:name w:val="TOC Heading"/>
    <w:qFormat/>
    <w:uiPriority w:val="39"/>
    <w:unhideWhenUsed/>
    <w:rPr>
      <w:rFonts w:ascii="Calibri" w:hAnsi="Calibri" w:cs="Calibri" w:eastAsia="Calibri"/>
      <w:color w:val="000000"/>
      <w:spacing w:val="0"/>
      <w:sz w:val="22"/>
      <w:szCs w:val="22"/>
      <w:shd w:val="clear" w:color="auto" w:fill="FFFFFF"/>
      <w:lang w:val="ru-RU" w:bidi="ar-SA" w:eastAsia="en-US"/>
    </w:rPr>
    <w:pPr>
      <w:ind w:left="0" w:right="0" w:firstLine="0"/>
      <w:jc w:val="left"/>
      <w:spacing w:lineRule="auto" w:line="259" w:after="160" w:afterAutospacing="0" w:before="0" w:beforeAutospacing="0"/>
      <w:shd w:val="nil" w:color="auto" w:fill="FFFFFF"/>
      <w:widowControl/>
    </w:pPr>
  </w:style>
  <w:style w:type="paragraph" w:styleId="Style18">
    <w:name w:val="Колонтитул"/>
    <w:basedOn w:val="Normal"/>
    <w:qFormat/>
  </w:style>
  <w:style w:type="paragraph" w:styleId="Header">
    <w:name w:val="Header"/>
    <w:basedOn w:val="Normal"/>
    <w:link w:val="Style10"/>
    <w:uiPriority w:val="99"/>
    <w:unhideWhenUsed/>
    <w:pPr>
      <w:spacing w:lineRule="auto" w:line="240" w:after="0" w:before="0"/>
      <w:tabs>
        <w:tab w:val="clear" w:pos="708"/>
        <w:tab w:val="center" w:pos="4677" w:leader="none"/>
        <w:tab w:val="right" w:pos="9355" w:leader="none"/>
      </w:tabs>
    </w:pPr>
  </w:style>
  <w:style w:type="paragraph" w:styleId="Footer">
    <w:name w:val="Footer"/>
    <w:basedOn w:val="Normal"/>
    <w:link w:val="Style11"/>
    <w:uiPriority w:val="99"/>
    <w:unhideWhenUsed/>
    <w:pPr>
      <w:spacing w:lineRule="auto" w:line="240" w:after="0" w:before="0"/>
      <w:tabs>
        <w:tab w:val="clear" w:pos="708"/>
        <w:tab w:val="center" w:pos="4677" w:leader="none"/>
        <w:tab w:val="right" w:pos="9355" w:leader="none"/>
      </w:tabs>
    </w:pPr>
  </w:style>
  <w:style w:type="paragraph" w:styleId="BalloonText">
    <w:name w:val="Balloon Text"/>
    <w:basedOn w:val="Normal"/>
    <w:link w:val="Style12"/>
    <w:qFormat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 w:before="0"/>
    </w:pPr>
  </w:style>
  <w:style w:type="paragraph" w:styleId="ListParagraph">
    <w:name w:val="List Paragraph"/>
    <w:basedOn w:val="Normal"/>
    <w:qFormat/>
    <w:uiPriority w:val="34"/>
    <w:pPr>
      <w:contextualSpacing w:val="true"/>
      <w:ind w:left="720"/>
      <w:spacing w:after="160" w:before="0"/>
    </w:pPr>
  </w:style>
  <w:style w:type="paragraph" w:styleId="NormalWeb">
    <w:name w:val="Normal (Web)"/>
    <w:basedOn w:val="Normal"/>
    <w:qFormat/>
    <w:rPr>
      <w:rFonts w:ascii="Times New Roman" w:hAnsi="Times New Roman" w:cs="Noto Sans Devanagari" w:eastAsia="Tahoma"/>
      <w:color w:val="000000"/>
      <w:lang w:eastAsia="ru-RU"/>
    </w:rPr>
    <w:pPr>
      <w:spacing w:lineRule="exact" w:line="240" w:after="280" w:before="280"/>
    </w:pPr>
  </w:style>
  <w:style w:type="paragraph" w:styleId="Default">
    <w:name w:val="Default"/>
    <w:qFormat/>
    <w:rPr>
      <w:rFonts w:ascii="Times New Roman" w:hAnsi="Times New Roman" w:cs="Times New Roman" w:eastAsia="Tahoma"/>
      <w:color w:val="000000"/>
      <w:sz w:val="24"/>
      <w:szCs w:val="24"/>
      <w:lang w:val="ru-RU" w:bidi="hi-IN" w:eastAsia="zh-CN"/>
    </w:rPr>
    <w:pPr>
      <w:jc w:val="left"/>
      <w:spacing w:after="0" w:before="0"/>
      <w:widowControl/>
    </w:pPr>
  </w:style>
  <w:style w:type="paragraph" w:styleId="Standard">
    <w:name w:val="Standard"/>
    <w:qFormat/>
    <w:rPr>
      <w:rFonts w:ascii="Liberation Serif" w:hAnsi="Liberation Serif" w:cs="Noto Sans Devanagari" w:eastAsia="Tahoma"/>
      <w:color w:val="auto"/>
      <w:sz w:val="24"/>
      <w:szCs w:val="24"/>
      <w:lang w:val="ru-RU" w:bidi="hi-IN" w:eastAsia="zh-CN"/>
    </w:rPr>
    <w:pPr>
      <w:jc w:val="left"/>
      <w:spacing w:after="0" w:before="0"/>
      <w:widowControl/>
    </w:pPr>
  </w:style>
  <w:style w:type="paragraph" w:styleId="ConsPlusNormal">
    <w:name w:val="ConsPlusNormal"/>
    <w:qFormat/>
    <w:rPr>
      <w:rFonts w:ascii="Liberation Serif" w:hAnsi="Liberation Serif" w:cs="Calibri" w:eastAsia="Times New Roman"/>
      <w:color w:val="auto"/>
      <w:sz w:val="24"/>
      <w:szCs w:val="20"/>
      <w:lang w:val="ru-RU" w:bidi="hi-IN" w:eastAsia="ru-RU"/>
    </w:rPr>
    <w:pPr>
      <w:jc w:val="left"/>
      <w:spacing w:after="0" w:before="0"/>
      <w:widowControl w:val="off"/>
    </w:pPr>
  </w:style>
  <w:style w:type="paragraph" w:styleId="Style19">
    <w:name w:val="Верхний и нижний колонтитулы"/>
    <w:basedOn w:val="Normal"/>
    <w:qFormat/>
    <w:rPr>
      <w:color w:val="000000"/>
    </w:rPr>
    <w:pPr>
      <w:tabs>
        <w:tab w:val="clear" w:pos="708"/>
        <w:tab w:val="center" w:pos="4819" w:leader="none"/>
        <w:tab w:val="right" w:pos="9638" w:leader="none"/>
      </w:tabs>
    </w:pPr>
  </w:style>
  <w:style w:type="paragraph" w:styleId="Indexheading1">
    <w:name w:val="index heading1"/>
    <w:basedOn w:val="Normal"/>
    <w:qFormat/>
    <w:rPr>
      <w:rFonts w:ascii="PT Astra Serif" w:hAnsi="PT Astra Serif" w:cs="Noto Sans Devanagari"/>
      <w:color w:val="000000"/>
    </w:rPr>
  </w:style>
  <w:style w:type="paragraph" w:styleId="Caption1">
    <w:name w:val="caption1"/>
    <w:basedOn w:val="Normal"/>
    <w:qFormat/>
    <w:rPr>
      <w:rFonts w:ascii="PT Astra Serif" w:hAnsi="PT Astra Serif" w:cs="Noto Sans Devanagari"/>
      <w:i/>
      <w:iCs/>
      <w:color w:val="000000"/>
    </w:rPr>
    <w:pPr>
      <w:spacing w:after="120" w:before="120"/>
    </w:pPr>
  </w:style>
  <w:style w:type="paragraph" w:styleId="Style20">
    <w:name w:val="Содержимое таблицы"/>
    <w:basedOn w:val="Normal"/>
    <w:qFormat/>
    <w:pPr>
      <w:widowControl w:val="off"/>
    </w:pPr>
  </w:style>
  <w:style w:type="numbering" w:styleId="NoList" w:default="1">
    <w:name w:val="No List"/>
    <w:qFormat/>
    <w:uiPriority w:val="99"/>
    <w:semiHidden/>
    <w:unhideWhenUsed/>
  </w:style>
  <w:style w:type="table" w:styleId="200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236">
    <w:name w:val="Table Grid"/>
    <w:basedOn w:val="200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37" w:customStyle="1">
    <w:name w:val="Lined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F2F2"/>
      </w:tcPr>
    </w:tblStylePr>
    <w:tblStylePr w:type="band2Vert">
      <w:rPr>
        <w:sz w:val="22"/>
      </w:rPr>
      <w:tcPr>
        <w:shd w:val="clear" w:color="auto" w:fill="F2F2F2"/>
      </w:tcPr>
    </w:tblStylePr>
    <w:tblStylePr w:type="firstCol">
      <w:rPr>
        <w:sz w:val="22"/>
      </w:rPr>
      <w:tcPr>
        <w:shd w:val="clear" w:color="auto" w:fill="7F7F7F"/>
      </w:tcPr>
    </w:tblStylePr>
    <w:tblStylePr w:type="firstRow">
      <w:rPr>
        <w:sz w:val="22"/>
      </w:rPr>
      <w:tcPr>
        <w:shd w:val="clear" w:color="auto" w:fill="7F7F7F"/>
      </w:tcPr>
    </w:tblStylePr>
    <w:tblStylePr w:type="lastCol">
      <w:rPr>
        <w:sz w:val="22"/>
      </w:rPr>
      <w:tcPr>
        <w:shd w:val="clear" w:color="auto" w:fill="7F7F7F"/>
      </w:tcPr>
    </w:tblStylePr>
    <w:tblStylePr w:type="lastRow">
      <w:rPr>
        <w:sz w:val="22"/>
      </w:rPr>
      <w:tcPr>
        <w:shd w:val="clear" w:color="auto" w:fill="7F7F7F"/>
      </w:tcPr>
    </w:tblStylePr>
  </w:style>
  <w:style w:type="table" w:styleId="238" w:customStyle="1">
    <w:name w:val="Lined - Accent 1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C6D9F1"/>
      </w:tcPr>
    </w:tblStylePr>
    <w:tblStylePr w:type="band2Vert">
      <w:rPr>
        <w:sz w:val="22"/>
      </w:rPr>
      <w:tcPr>
        <w:shd w:val="clear" w:color="auto" w:fill="C6D9F1"/>
      </w:tcPr>
    </w:tblStylePr>
    <w:tblStylePr w:type="firstCol">
      <w:rPr>
        <w:sz w:val="22"/>
      </w:rPr>
      <w:tcPr>
        <w:shd w:val="clear" w:color="auto" w:fill="548DD4"/>
      </w:tcPr>
    </w:tblStylePr>
    <w:tblStylePr w:type="firstRow">
      <w:rPr>
        <w:sz w:val="22"/>
      </w:rPr>
      <w:tcPr>
        <w:shd w:val="clear" w:color="auto" w:fill="548DD4"/>
      </w:tcPr>
    </w:tblStylePr>
    <w:tblStylePr w:type="lastCol">
      <w:rPr>
        <w:sz w:val="22"/>
      </w:rPr>
      <w:tcPr>
        <w:shd w:val="clear" w:color="auto" w:fill="548DD4"/>
      </w:tcPr>
    </w:tblStylePr>
    <w:tblStylePr w:type="lastRow">
      <w:rPr>
        <w:sz w:val="22"/>
      </w:rPr>
      <w:tcPr>
        <w:shd w:val="clear" w:color="auto" w:fill="548DD4"/>
      </w:tcPr>
    </w:tblStylePr>
  </w:style>
  <w:style w:type="table" w:styleId="239" w:customStyle="1">
    <w:name w:val="Lined - Accent 2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DBDB"/>
      </w:tcPr>
    </w:tblStylePr>
    <w:tblStylePr w:type="band2Vert">
      <w:rPr>
        <w:sz w:val="22"/>
      </w:rPr>
      <w:tcPr>
        <w:shd w:val="clear" w:color="auto" w:fill="F2DBDB"/>
      </w:tcPr>
    </w:tblStylePr>
    <w:tblStylePr w:type="firstCol">
      <w:rPr>
        <w:sz w:val="22"/>
      </w:rPr>
      <w:tcPr>
        <w:shd w:val="clear" w:color="auto" w:fill="D99594"/>
      </w:tcPr>
    </w:tblStylePr>
    <w:tblStylePr w:type="firstRow">
      <w:rPr>
        <w:sz w:val="22"/>
      </w:rPr>
      <w:tcPr>
        <w:shd w:val="clear" w:color="auto" w:fill="D99594"/>
      </w:tcPr>
    </w:tblStylePr>
    <w:tblStylePr w:type="lastCol">
      <w:rPr>
        <w:sz w:val="22"/>
      </w:rPr>
      <w:tcPr>
        <w:shd w:val="clear" w:color="auto" w:fill="D99594"/>
      </w:tcPr>
    </w:tblStylePr>
    <w:tblStylePr w:type="lastRow">
      <w:rPr>
        <w:sz w:val="22"/>
      </w:rPr>
      <w:tcPr>
        <w:shd w:val="clear" w:color="auto" w:fill="D99594"/>
      </w:tcPr>
    </w:tblStylePr>
  </w:style>
  <w:style w:type="table" w:styleId="240" w:customStyle="1">
    <w:name w:val="Lined - Accent 3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AF1DD"/>
      </w:tcPr>
    </w:tblStylePr>
    <w:tblStylePr w:type="band2Vert">
      <w:rPr>
        <w:sz w:val="22"/>
      </w:rPr>
      <w:tcPr>
        <w:shd w:val="clear" w:color="auto" w:fill="EAF1DD"/>
      </w:tcPr>
    </w:tblStylePr>
    <w:tblStylePr w:type="firstCol">
      <w:rPr>
        <w:sz w:val="22"/>
      </w:rPr>
      <w:tcPr>
        <w:shd w:val="clear" w:color="auto" w:fill="9BB559"/>
      </w:tcPr>
    </w:tblStylePr>
    <w:tblStylePr w:type="firstRow">
      <w:rPr>
        <w:sz w:val="22"/>
      </w:rPr>
      <w:tcPr>
        <w:shd w:val="clear" w:color="auto" w:fill="9BB559"/>
      </w:tcPr>
    </w:tblStylePr>
    <w:tblStylePr w:type="lastCol">
      <w:rPr>
        <w:sz w:val="22"/>
      </w:rPr>
      <w:tcPr>
        <w:shd w:val="clear" w:color="auto" w:fill="9BB559"/>
      </w:tcPr>
    </w:tblStylePr>
    <w:tblStylePr w:type="lastRow">
      <w:rPr>
        <w:sz w:val="22"/>
      </w:rPr>
      <w:tcPr>
        <w:shd w:val="clear" w:color="auto" w:fill="9BB559"/>
      </w:tcPr>
    </w:tblStylePr>
  </w:style>
  <w:style w:type="table" w:styleId="241" w:customStyle="1">
    <w:name w:val="Lined - Accent 4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5DFEC"/>
      </w:tcPr>
    </w:tblStylePr>
    <w:tblStylePr w:type="band2Vert">
      <w:rPr>
        <w:sz w:val="22"/>
      </w:rPr>
      <w:tcPr>
        <w:shd w:val="clear" w:color="auto" w:fill="E5DFEC"/>
      </w:tcPr>
    </w:tblStylePr>
    <w:tblStylePr w:type="firstCol">
      <w:rPr>
        <w:sz w:val="22"/>
      </w:rPr>
      <w:tcPr>
        <w:shd w:val="clear" w:color="auto" w:fill="B2A1C7"/>
      </w:tcPr>
    </w:tblStylePr>
    <w:tblStylePr w:type="firstRow">
      <w:rPr>
        <w:sz w:val="22"/>
      </w:rPr>
      <w:tcPr>
        <w:shd w:val="clear" w:color="auto" w:fill="B2A1C7"/>
      </w:tcPr>
    </w:tblStylePr>
    <w:tblStylePr w:type="lastCol">
      <w:rPr>
        <w:sz w:val="22"/>
      </w:rPr>
      <w:tcPr>
        <w:shd w:val="clear" w:color="auto" w:fill="B2A1C7"/>
      </w:tcPr>
    </w:tblStylePr>
    <w:tblStylePr w:type="lastRow">
      <w:rPr>
        <w:sz w:val="22"/>
      </w:rPr>
      <w:tcPr>
        <w:shd w:val="clear" w:color="auto" w:fill="B2A1C7"/>
      </w:tcPr>
    </w:tblStylePr>
  </w:style>
  <w:style w:type="table" w:styleId="242" w:customStyle="1">
    <w:name w:val="Lined - Accent 5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DAEEF3"/>
      </w:tcPr>
    </w:tblStylePr>
    <w:tblStylePr w:type="band2Vert">
      <w:rPr>
        <w:sz w:val="22"/>
      </w:rPr>
      <w:tcPr>
        <w:shd w:val="clear" w:color="auto" w:fill="DAEEF3"/>
      </w:tcPr>
    </w:tblStylePr>
    <w:tblStylePr w:type="firstCol">
      <w:rPr>
        <w:sz w:val="22"/>
      </w:rPr>
      <w:tcPr>
        <w:shd w:val="clear" w:color="auto" w:fill="4BACC6"/>
      </w:tcPr>
    </w:tblStylePr>
    <w:tblStylePr w:type="firstRow">
      <w:rPr>
        <w:sz w:val="22"/>
      </w:rPr>
      <w:tcPr>
        <w:shd w:val="clear" w:color="auto" w:fill="4BACC6"/>
      </w:tcPr>
    </w:tblStylePr>
    <w:tblStylePr w:type="lastCol">
      <w:rPr>
        <w:sz w:val="22"/>
      </w:rPr>
      <w:tcPr>
        <w:shd w:val="clear" w:color="auto" w:fill="4BACC6"/>
      </w:tcPr>
    </w:tblStylePr>
    <w:tblStylePr w:type="lastRow">
      <w:rPr>
        <w:sz w:val="22"/>
      </w:rPr>
      <w:tcPr>
        <w:shd w:val="clear" w:color="auto" w:fill="4BACC6"/>
      </w:tcPr>
    </w:tblStylePr>
  </w:style>
  <w:style w:type="table" w:styleId="243" w:customStyle="1">
    <w:name w:val="Lined - Accent 6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DE9D9"/>
      </w:tcPr>
    </w:tblStylePr>
    <w:tblStylePr w:type="band2Vert">
      <w:rPr>
        <w:sz w:val="22"/>
      </w:rPr>
      <w:tcPr>
        <w:shd w:val="clear" w:color="auto" w:fill="FDE9D9"/>
      </w:tcPr>
    </w:tblStylePr>
    <w:tblStylePr w:type="firstCol">
      <w:rPr>
        <w:sz w:val="22"/>
      </w:rPr>
      <w:tcPr>
        <w:shd w:val="clear" w:color="auto" w:fill="F79646"/>
      </w:tcPr>
    </w:tblStylePr>
    <w:tblStylePr w:type="firstRow">
      <w:rPr>
        <w:sz w:val="22"/>
      </w:rPr>
      <w:tcPr>
        <w:shd w:val="clear" w:color="auto" w:fill="F79646"/>
      </w:tcPr>
    </w:tblStylePr>
    <w:tblStylePr w:type="lastCol">
      <w:rPr>
        <w:sz w:val="22"/>
      </w:rPr>
      <w:tcPr>
        <w:shd w:val="clear" w:color="auto" w:fill="F79646"/>
      </w:tcPr>
    </w:tblStylePr>
    <w:tblStylePr w:type="lastRow">
      <w:rPr>
        <w:sz w:val="22"/>
      </w:rPr>
      <w:tcPr>
        <w:shd w:val="clear" w:color="auto" w:fill="F79646"/>
      </w:tcPr>
    </w:tblStylePr>
  </w:style>
  <w:style w:type="table" w:styleId="244" w:customStyle="1">
    <w:name w:val="Bordered"/>
    <w:basedOn w:val="20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sz w:val="22"/>
      </w:rPr>
      <w:tcPr>
        <w:tcBorders>
          <w:right w:val="single" w:color="7F7F7F" w:sz="12" w:space="0"/>
        </w:tcBorders>
      </w:tcPr>
    </w:tblStylePr>
    <w:tblStylePr w:type="firstRow">
      <w:rPr>
        <w:sz w:val="22"/>
      </w:rPr>
      <w:tcPr>
        <w:tcBorders>
          <w:bottom w:val="single" w:color="7F7F7F" w:sz="12" w:space="0"/>
        </w:tcBorders>
      </w:tcPr>
    </w:tblStylePr>
    <w:tblStylePr w:type="lastCol">
      <w:rPr>
        <w:sz w:val="22"/>
      </w:rPr>
      <w:tcPr>
        <w:tcBorders>
          <w:left w:val="single" w:color="7F7F7F" w:sz="12" w:space="0"/>
        </w:tcBorders>
      </w:tcPr>
    </w:tblStylePr>
    <w:tblStylePr w:type="lastRow">
      <w:rPr>
        <w:sz w:val="22"/>
      </w:rPr>
      <w:tcPr>
        <w:tcBorders>
          <w:top w:val="single" w:color="7F7F7F" w:sz="12" w:space="0"/>
        </w:tcBorders>
      </w:tcPr>
    </w:tblStylePr>
  </w:style>
  <w:style w:type="table" w:styleId="245" w:customStyle="1">
    <w:name w:val="Bordered - Accent 1"/>
    <w:basedOn w:val="20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sz w:val="22"/>
      </w:rPr>
      <w:tcPr>
        <w:tcBorders>
          <w:right w:val="single" w:color="4F81BD" w:sz="12" w:space="0"/>
        </w:tcBorders>
      </w:tcPr>
    </w:tblStylePr>
    <w:tblStylePr w:type="firstRow">
      <w:rPr>
        <w:sz w:val="22"/>
      </w:rPr>
      <w:tcPr>
        <w:tcBorders>
          <w:bottom w:val="single" w:color="4F81BD" w:sz="12" w:space="0"/>
        </w:tcBorders>
      </w:tcPr>
    </w:tblStylePr>
    <w:tblStylePr w:type="lastCol">
      <w:rPr>
        <w:sz w:val="22"/>
      </w:rPr>
      <w:tcPr>
        <w:tcBorders>
          <w:left w:val="single" w:color="4F81BD" w:sz="12" w:space="0"/>
        </w:tcBorders>
      </w:tcPr>
    </w:tblStylePr>
    <w:tblStylePr w:type="lastRow">
      <w:rPr>
        <w:sz w:val="22"/>
      </w:rPr>
      <w:tcPr>
        <w:tcBorders>
          <w:top w:val="single" w:color="4F81BD" w:sz="12" w:space="0"/>
        </w:tcBorders>
      </w:tcPr>
    </w:tblStylePr>
  </w:style>
  <w:style w:type="table" w:styleId="246" w:customStyle="1">
    <w:name w:val="Bordered - Accent 2"/>
    <w:basedOn w:val="20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sz w:val="22"/>
      </w:rPr>
      <w:tcPr>
        <w:tcBorders>
          <w:right w:val="single" w:color="D99594" w:sz="12" w:space="0"/>
        </w:tcBorders>
      </w:tcPr>
    </w:tblStylePr>
    <w:tblStylePr w:type="firstRow">
      <w:rPr>
        <w:sz w:val="22"/>
      </w:rPr>
      <w:tcPr>
        <w:tcBorders>
          <w:bottom w:val="single" w:color="D99594" w:sz="12" w:space="0"/>
        </w:tcBorders>
      </w:tcPr>
    </w:tblStylePr>
    <w:tblStylePr w:type="lastCol">
      <w:rPr>
        <w:sz w:val="22"/>
      </w:rPr>
      <w:tcPr>
        <w:tcBorders>
          <w:left w:val="single" w:color="D99594" w:sz="12" w:space="0"/>
        </w:tcBorders>
      </w:tcPr>
    </w:tblStylePr>
    <w:tblStylePr w:type="lastRow">
      <w:rPr>
        <w:sz w:val="22"/>
      </w:rPr>
      <w:tcPr>
        <w:tcBorders>
          <w:top w:val="single" w:color="D99594" w:sz="12" w:space="0"/>
        </w:tcBorders>
      </w:tcPr>
    </w:tblStylePr>
  </w:style>
  <w:style w:type="table" w:styleId="247" w:customStyle="1">
    <w:name w:val="Bordered - Accent 3"/>
    <w:basedOn w:val="20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sz w:val="22"/>
      </w:rPr>
      <w:tcPr>
        <w:tcBorders>
          <w:right w:val="single" w:color="C2D69B" w:sz="12" w:space="0"/>
        </w:tcBorders>
      </w:tcPr>
    </w:tblStylePr>
    <w:tblStylePr w:type="firstRow">
      <w:rPr>
        <w:sz w:val="22"/>
      </w:rPr>
      <w:tcPr>
        <w:tcBorders>
          <w:bottom w:val="single" w:color="C2D69B" w:sz="12" w:space="0"/>
        </w:tcBorders>
      </w:tcPr>
    </w:tblStylePr>
    <w:tblStylePr w:type="lastCol">
      <w:rPr>
        <w:sz w:val="22"/>
      </w:rPr>
      <w:tcPr>
        <w:tcBorders>
          <w:left w:val="single" w:color="C2D69B" w:sz="12" w:space="0"/>
        </w:tcBorders>
      </w:tcPr>
    </w:tblStylePr>
    <w:tblStylePr w:type="lastRow">
      <w:rPr>
        <w:sz w:val="22"/>
      </w:rPr>
      <w:tcPr>
        <w:tcBorders>
          <w:top w:val="single" w:color="C2D69B" w:sz="12" w:space="0"/>
        </w:tcBorders>
      </w:tcPr>
    </w:tblStylePr>
  </w:style>
  <w:style w:type="table" w:styleId="248" w:customStyle="1">
    <w:name w:val="Bordered - Accent 4"/>
    <w:basedOn w:val="20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sz w:val="22"/>
      </w:rPr>
      <w:tcPr>
        <w:tcBorders>
          <w:right w:val="single" w:color="B2A1C7" w:sz="12" w:space="0"/>
        </w:tcBorders>
      </w:tcPr>
    </w:tblStylePr>
    <w:tblStylePr w:type="firstRow">
      <w:rPr>
        <w:sz w:val="22"/>
      </w:rPr>
      <w:tcPr>
        <w:tcBorders>
          <w:bottom w:val="single" w:color="B2A1C7" w:sz="12" w:space="0"/>
        </w:tcBorders>
      </w:tcPr>
    </w:tblStylePr>
    <w:tblStylePr w:type="lastCol">
      <w:rPr>
        <w:sz w:val="22"/>
      </w:rPr>
      <w:tcPr>
        <w:tcBorders>
          <w:left w:val="single" w:color="B2A1C7" w:sz="12" w:space="0"/>
        </w:tcBorders>
      </w:tcPr>
    </w:tblStylePr>
    <w:tblStylePr w:type="lastRow">
      <w:rPr>
        <w:sz w:val="22"/>
      </w:rPr>
      <w:tcPr>
        <w:tcBorders>
          <w:top w:val="single" w:color="B2A1C7" w:sz="12" w:space="0"/>
        </w:tcBorders>
      </w:tcPr>
    </w:tblStylePr>
  </w:style>
  <w:style w:type="table" w:styleId="249" w:customStyle="1">
    <w:name w:val="Bordered - Accent 5"/>
    <w:basedOn w:val="20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sz w:val="22"/>
      </w:rPr>
      <w:tcPr>
        <w:tcBorders>
          <w:right w:val="single" w:color="92CDDC" w:sz="12" w:space="0"/>
        </w:tcBorders>
      </w:tcPr>
    </w:tblStylePr>
    <w:tblStylePr w:type="firstRow">
      <w:rPr>
        <w:sz w:val="22"/>
      </w:rPr>
      <w:tcPr>
        <w:tcBorders>
          <w:bottom w:val="single" w:color="92CDDC" w:sz="12" w:space="0"/>
        </w:tcBorders>
      </w:tcPr>
    </w:tblStylePr>
    <w:tblStylePr w:type="lastCol">
      <w:rPr>
        <w:sz w:val="22"/>
      </w:rPr>
      <w:tcPr>
        <w:tcBorders>
          <w:left w:val="single" w:color="92CDDC" w:sz="12" w:space="0"/>
        </w:tcBorders>
      </w:tcPr>
    </w:tblStylePr>
    <w:tblStylePr w:type="lastRow">
      <w:rPr>
        <w:sz w:val="22"/>
      </w:rPr>
      <w:tcPr>
        <w:tcBorders>
          <w:top w:val="single" w:color="92CDDC" w:sz="12" w:space="0"/>
        </w:tcBorders>
      </w:tcPr>
    </w:tblStylePr>
  </w:style>
  <w:style w:type="table" w:styleId="250" w:customStyle="1">
    <w:name w:val="Bordered - Accent 6"/>
    <w:basedOn w:val="20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sz w:val="22"/>
      </w:rPr>
      <w:tcPr>
        <w:tcBorders>
          <w:right w:val="single" w:color="FABF8F" w:sz="12" w:space="0"/>
        </w:tcBorders>
      </w:tcPr>
    </w:tblStylePr>
    <w:tblStylePr w:type="firstRow">
      <w:rPr>
        <w:sz w:val="22"/>
      </w:rPr>
      <w:tcPr>
        <w:tcBorders>
          <w:bottom w:val="single" w:color="FABF8F" w:sz="12" w:space="0"/>
        </w:tcBorders>
      </w:tcPr>
    </w:tblStylePr>
    <w:tblStylePr w:type="lastCol">
      <w:rPr>
        <w:sz w:val="22"/>
      </w:rPr>
      <w:tcPr>
        <w:tcBorders>
          <w:left w:val="single" w:color="FABF8F" w:sz="12" w:space="0"/>
        </w:tcBorders>
      </w:tcPr>
    </w:tblStylePr>
    <w:tblStylePr w:type="lastRow">
      <w:rPr>
        <w:sz w:val="22"/>
      </w:rPr>
      <w:tcPr>
        <w:tcBorders>
          <w:top w:val="single" w:color="FABF8F" w:sz="12" w:space="0"/>
        </w:tcBorders>
      </w:tcPr>
    </w:tblStylePr>
  </w:style>
  <w:style w:type="table" w:styleId="251" w:customStyle="1">
    <w:name w:val="Bordered &amp; Lined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F2F2"/>
      </w:tcPr>
    </w:tblStylePr>
    <w:tblStylePr w:type="band2Vert">
      <w:rPr>
        <w:sz w:val="22"/>
      </w:rPr>
      <w:tcPr>
        <w:shd w:val="clear" w:color="auto" w:fill="D9D9D9"/>
      </w:tcPr>
    </w:tblStylePr>
    <w:tblStylePr w:type="firstCol">
      <w:rPr>
        <w:sz w:val="22"/>
      </w:rPr>
      <w:tcPr>
        <w:shd w:val="clear" w:color="auto" w:fill="7F7F7F"/>
      </w:tcPr>
    </w:tblStylePr>
    <w:tblStylePr w:type="firstRow">
      <w:rPr>
        <w:sz w:val="22"/>
      </w:rPr>
      <w:tcPr>
        <w:shd w:val="clear" w:color="auto" w:fill="7F7F7F"/>
      </w:tcPr>
    </w:tblStylePr>
    <w:tblStylePr w:type="lastCol">
      <w:rPr>
        <w:sz w:val="22"/>
      </w:rPr>
      <w:tcPr>
        <w:shd w:val="clear" w:color="auto" w:fill="7F7F7F"/>
      </w:tcPr>
    </w:tblStylePr>
    <w:tblStylePr w:type="lastRow">
      <w:rPr>
        <w:sz w:val="22"/>
      </w:rPr>
      <w:tcPr>
        <w:shd w:val="clear" w:color="auto" w:fill="7F7F7F"/>
      </w:tcPr>
    </w:tblStylePr>
  </w:style>
  <w:style w:type="table" w:styleId="252" w:customStyle="1">
    <w:name w:val="Bordered &amp; Lined - Accent 1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C6D9F1"/>
      </w:tcPr>
    </w:tblStylePr>
    <w:tblStylePr w:type="band2Vert">
      <w:rPr>
        <w:sz w:val="22"/>
      </w:rPr>
      <w:tcPr>
        <w:shd w:val="clear" w:color="auto" w:fill="C6D9F1"/>
      </w:tcPr>
    </w:tblStylePr>
    <w:tblStylePr w:type="firstCol">
      <w:rPr>
        <w:sz w:val="22"/>
      </w:rPr>
      <w:tcPr>
        <w:shd w:val="clear" w:color="auto" w:fill="548DD4"/>
      </w:tcPr>
    </w:tblStylePr>
    <w:tblStylePr w:type="firstRow">
      <w:rPr>
        <w:sz w:val="22"/>
      </w:rPr>
      <w:tcPr>
        <w:shd w:val="clear" w:color="auto" w:fill="548DD4"/>
      </w:tcPr>
    </w:tblStylePr>
    <w:tblStylePr w:type="lastCol">
      <w:rPr>
        <w:sz w:val="22"/>
      </w:rPr>
      <w:tcPr>
        <w:shd w:val="clear" w:color="auto" w:fill="548DD4"/>
      </w:tcPr>
    </w:tblStylePr>
    <w:tblStylePr w:type="lastRow">
      <w:rPr>
        <w:sz w:val="22"/>
      </w:rPr>
      <w:tcPr>
        <w:shd w:val="clear" w:color="auto" w:fill="548DD4"/>
      </w:tcPr>
    </w:tblStylePr>
  </w:style>
  <w:style w:type="table" w:styleId="253" w:customStyle="1">
    <w:name w:val="Bordered &amp; Lined - Accent 2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DBDB"/>
      </w:tcPr>
    </w:tblStylePr>
    <w:tblStylePr w:type="band2Vert">
      <w:rPr>
        <w:sz w:val="22"/>
      </w:rPr>
      <w:tcPr>
        <w:shd w:val="clear" w:color="auto" w:fill="F2DBDB"/>
      </w:tcPr>
    </w:tblStylePr>
    <w:tblStylePr w:type="firstCol">
      <w:rPr>
        <w:sz w:val="22"/>
      </w:rPr>
      <w:tcPr>
        <w:shd w:val="clear" w:color="auto" w:fill="D99594"/>
      </w:tcPr>
    </w:tblStylePr>
    <w:tblStylePr w:type="firstRow">
      <w:rPr>
        <w:sz w:val="22"/>
      </w:rPr>
      <w:tcPr>
        <w:shd w:val="clear" w:color="auto" w:fill="D99594"/>
      </w:tcPr>
    </w:tblStylePr>
    <w:tblStylePr w:type="lastCol">
      <w:rPr>
        <w:sz w:val="22"/>
      </w:rPr>
      <w:tcPr>
        <w:shd w:val="clear" w:color="auto" w:fill="D99594"/>
      </w:tcPr>
    </w:tblStylePr>
    <w:tblStylePr w:type="lastRow">
      <w:rPr>
        <w:sz w:val="22"/>
      </w:rPr>
      <w:tcPr>
        <w:shd w:val="clear" w:color="auto" w:fill="D99594"/>
      </w:tcPr>
    </w:tblStylePr>
  </w:style>
  <w:style w:type="table" w:styleId="254" w:customStyle="1">
    <w:name w:val="Bordered &amp; Lined - Accent 3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AF1DD"/>
      </w:tcPr>
    </w:tblStylePr>
    <w:tblStylePr w:type="band2Vert">
      <w:rPr>
        <w:sz w:val="22"/>
      </w:rPr>
      <w:tcPr>
        <w:shd w:val="clear" w:color="auto" w:fill="EAF1DD"/>
      </w:tcPr>
    </w:tblStylePr>
    <w:tblStylePr w:type="firstCol">
      <w:rPr>
        <w:sz w:val="22"/>
      </w:rPr>
      <w:tcPr>
        <w:shd w:val="clear" w:color="auto" w:fill="9BBB59"/>
      </w:tcPr>
    </w:tblStylePr>
    <w:tblStylePr w:type="firstRow">
      <w:rPr>
        <w:sz w:val="22"/>
      </w:rPr>
      <w:tcPr>
        <w:shd w:val="clear" w:color="auto" w:fill="9BBB59"/>
      </w:tcPr>
    </w:tblStylePr>
    <w:tblStylePr w:type="lastCol">
      <w:rPr>
        <w:sz w:val="22"/>
      </w:rPr>
      <w:tcPr>
        <w:shd w:val="clear" w:color="auto" w:fill="9BBB59"/>
      </w:tcPr>
    </w:tblStylePr>
    <w:tblStylePr w:type="lastRow">
      <w:rPr>
        <w:sz w:val="22"/>
      </w:rPr>
      <w:tcPr>
        <w:shd w:val="clear" w:color="auto" w:fill="9BBB59"/>
      </w:tcPr>
    </w:tblStylePr>
  </w:style>
  <w:style w:type="table" w:styleId="255" w:customStyle="1">
    <w:name w:val="Bordered &amp; Lined - Accent 4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5DFEC"/>
      </w:tcPr>
    </w:tblStylePr>
    <w:tblStylePr w:type="band2Vert">
      <w:rPr>
        <w:sz w:val="22"/>
      </w:rPr>
      <w:tcPr>
        <w:shd w:val="clear" w:color="auto" w:fill="E5DFEC"/>
      </w:tcPr>
    </w:tblStylePr>
    <w:tblStylePr w:type="firstCol">
      <w:rPr>
        <w:sz w:val="22"/>
      </w:rPr>
      <w:tcPr>
        <w:shd w:val="clear" w:color="auto" w:fill="B2A1C7"/>
      </w:tcPr>
    </w:tblStylePr>
    <w:tblStylePr w:type="firstRow">
      <w:rPr>
        <w:sz w:val="22"/>
      </w:rPr>
      <w:tcPr>
        <w:shd w:val="clear" w:color="auto" w:fill="B2A1C7"/>
      </w:tcPr>
    </w:tblStylePr>
    <w:tblStylePr w:type="lastCol">
      <w:rPr>
        <w:sz w:val="22"/>
      </w:rPr>
      <w:tcPr>
        <w:shd w:val="clear" w:color="auto" w:fill="B2A1C7"/>
      </w:tcPr>
    </w:tblStylePr>
    <w:tblStylePr w:type="lastRow">
      <w:rPr>
        <w:sz w:val="22"/>
      </w:rPr>
      <w:tcPr>
        <w:shd w:val="clear" w:color="auto" w:fill="B2A1C7"/>
      </w:tcPr>
    </w:tblStylePr>
  </w:style>
  <w:style w:type="table" w:styleId="256" w:customStyle="1">
    <w:name w:val="Bordered &amp; Lined - Accent 5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DAEEF3"/>
      </w:tcPr>
    </w:tblStylePr>
    <w:tblStylePr w:type="band2Vert">
      <w:rPr>
        <w:sz w:val="22"/>
      </w:rPr>
      <w:tcPr>
        <w:shd w:val="clear" w:color="auto" w:fill="DAEEF3"/>
      </w:tcPr>
    </w:tblStylePr>
    <w:tblStylePr w:type="firstCol">
      <w:rPr>
        <w:sz w:val="22"/>
      </w:rPr>
      <w:tcPr>
        <w:shd w:val="clear" w:color="auto" w:fill="4BACC6"/>
      </w:tcPr>
    </w:tblStylePr>
    <w:tblStylePr w:type="firstRow">
      <w:rPr>
        <w:sz w:val="22"/>
      </w:rPr>
      <w:tcPr>
        <w:shd w:val="clear" w:color="auto" w:fill="4BACC6"/>
      </w:tcPr>
    </w:tblStylePr>
    <w:tblStylePr w:type="lastCol">
      <w:rPr>
        <w:sz w:val="22"/>
      </w:rPr>
      <w:tcPr>
        <w:shd w:val="clear" w:color="auto" w:fill="4BACC6"/>
      </w:tcPr>
    </w:tblStylePr>
    <w:tblStylePr w:type="lastRow">
      <w:rPr>
        <w:sz w:val="22"/>
      </w:rPr>
      <w:tcPr>
        <w:shd w:val="clear" w:color="auto" w:fill="4BACC6"/>
      </w:tcPr>
    </w:tblStylePr>
  </w:style>
  <w:style w:type="table" w:styleId="257" w:customStyle="1">
    <w:name w:val="Bordered &amp; Lined - Accent 6"/>
    <w:basedOn w:val="200"/>
    <w:uiPriority w:val="99"/>
    <w:rPr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DE9D9"/>
      </w:tcPr>
    </w:tblStylePr>
    <w:tblStylePr w:type="band2Vert">
      <w:rPr>
        <w:sz w:val="22"/>
      </w:rPr>
      <w:tcPr>
        <w:shd w:val="clear" w:color="auto" w:fill="FDE9D9"/>
      </w:tcPr>
    </w:tblStylePr>
    <w:tblStylePr w:type="firstCol">
      <w:rPr>
        <w:sz w:val="22"/>
      </w:rPr>
      <w:tcPr>
        <w:shd w:val="clear" w:color="auto" w:fill="F79646"/>
      </w:tcPr>
    </w:tblStylePr>
    <w:tblStylePr w:type="firstRow">
      <w:rPr>
        <w:sz w:val="22"/>
      </w:rPr>
      <w:tcPr>
        <w:shd w:val="clear" w:color="auto" w:fill="F79646"/>
      </w:tcPr>
    </w:tblStylePr>
    <w:tblStylePr w:type="lastCol">
      <w:rPr>
        <w:sz w:val="22"/>
      </w:rPr>
      <w:tcPr>
        <w:shd w:val="clear" w:color="auto" w:fill="F79646"/>
      </w:tcPr>
    </w:tblStylePr>
    <w:tblStylePr w:type="lastRow">
      <w:rPr>
        <w:sz w:val="22"/>
      </w:rPr>
      <w:tcPr>
        <w:shd w:val="clear" w:color="auto" w:fill="F79646"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Characters>3386</Characters>
  <CharactersWithSpaces>3921</CharactersWithSpaces>
  <Pages>2</Pages>
  <Paragraphs>28</Paragraphs>
  <Template>Normal</Template>
  <TotalTime>9</TotalTime>
  <Words>451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dc:description/>
  <dc:language>ru-RU</dc:language>
  <cp:lastModifiedBy/>
  <cp:revision>57</cp:revision>
  <cp:lastPrinted>2025-05-29T11:16:15Z</cp:lastPrinted>
  <dcterms:modified xsi:type="dcterms:W3CDTF">2025-05-29T11:19:42Z</dcterms:modified>
</cp:coreProperties>
</file>