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 w:val="25"/>
          <w:szCs w:val="25"/>
        </w:rPr>
      </w:pPr>
      <w:r>
        <w:rPr>
          <w:sz w:val="25"/>
          <w:szCs w:val="25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 w:val="22"/>
          <w:szCs w:val="25"/>
        </w:rPr>
      </w:pPr>
      <w:r>
        <w:rPr>
          <w:sz w:val="22"/>
          <w:szCs w:val="25"/>
        </w:rPr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b w:val="false"/>
          <w:bCs w:val="false"/>
        </w:rPr>
      </w:pPr>
      <w:r>
        <w:rPr>
          <w:rFonts w:ascii="Calibri" w:hAnsi="Calibri"/>
          <w:b w:val="false"/>
          <w:bCs w:val="false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b w:val="false"/>
          <w:bCs w:val="false"/>
        </w:rPr>
      </w:pPr>
      <w:r>
        <w:rPr>
          <w:rFonts w:ascii="Calibri" w:hAnsi="Calibri"/>
          <w:b w:val="false"/>
          <w:bCs w:val="false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Calibri" w:hAnsi="Calibri"/>
          <w:b w:val="false"/>
          <w:bCs w:val="false"/>
          <w:i/>
          <w:iCs/>
          <w:sz w:val="38"/>
          <w:szCs w:val="38"/>
        </w:rPr>
        <w:t>Р А С П О Р Я Ж Е Н И Е</w:t>
      </w:r>
    </w:p>
    <w:p>
      <w:pPr>
        <w:pStyle w:val="Normal"/>
        <w:rPr>
          <w:b w:val="false"/>
          <w:bCs w:val="false"/>
          <w:sz w:val="22"/>
          <w:szCs w:val="25"/>
        </w:rPr>
      </w:pPr>
      <w:r>
        <w:rPr>
          <w:b w:val="false"/>
          <w:bCs w:val="false"/>
          <w:sz w:val="22"/>
          <w:szCs w:val="25"/>
        </w:rPr>
      </w:r>
    </w:p>
    <w:p>
      <w:pPr>
        <w:pStyle w:val="Normal"/>
        <w:rPr>
          <w:b w:val="false"/>
          <w:bCs w:val="false"/>
          <w:sz w:val="22"/>
          <w:szCs w:val="25"/>
        </w:rPr>
      </w:pPr>
      <w:r>
        <w:rPr>
          <w:b w:val="false"/>
          <w:bCs w:val="false"/>
          <w:sz w:val="22"/>
          <w:szCs w:val="25"/>
        </w:rPr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</w:rPr>
        <w:t>от 09.06.2026 № 549-р</w:t>
      </w:r>
    </w:p>
    <w:p>
      <w:pPr>
        <w:pStyle w:val="Normal"/>
        <w:rPr>
          <w:b w:val="false"/>
          <w:bCs w:val="false"/>
          <w:sz w:val="28"/>
        </w:rPr>
      </w:pPr>
      <w:r>
        <w:rPr>
          <w:b w:val="false"/>
          <w:bCs w:val="false"/>
          <w:sz w:val="28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О внесении изменений в распоряжение администрации Копейского городского округа от 23.12.2024 № 1059-р</w:t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 </w:t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1. Внести в распоряжение администрации Копейского городского округа  от 23.12.2024 № 1059-р «Об утверждении муниципальной программы «Снос зданий, строений, сооружений на территории Копейского городского округа» изменения, изложив приложение к муниципальной программе «Снос зданий, строений, сооружений на территории Копейского городского округа» в новой редакции (приложение).</w:t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2. Отделу пресс-службы администрации Копейского городского округа (Петренко Е.А.) разместить на официальном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3. </w:t>
      </w:r>
      <w:r>
        <w:rPr>
          <w:b w:val="false"/>
          <w:sz w:val="28"/>
          <w:szCs w:val="28"/>
          <w:lang w:eastAsia="x-none"/>
        </w:rPr>
        <w:t>Контроль исполнения настоящего распоряжения возложить на заместителя Главы городского округа  по жилищно-коммунальным вопросам Филиппова А.С.</w:t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4. Настоящее распоряжение вступает в силу со дня подписания.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b w:val="false"/>
          <w:sz w:val="27"/>
          <w:szCs w:val="27"/>
        </w:rPr>
      </w:pPr>
      <w:r>
        <w:rPr>
          <w:b w:val="false"/>
          <w:sz w:val="28"/>
          <w:szCs w:val="28"/>
        </w:rPr>
        <w:t>Глава Копейского городского округа                                              С.В. Логанова</w:t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199</Words>
  <Characters>1382</Characters>
  <CharactersWithSpaces>1618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2026-06-09T10:13:00Z</dcterms:created>
  <dc:creator>Габайдуллина Ольга Сергеевна</dc:creator>
  <dc:description/>
  <dc:language>ru-RU</dc:language>
  <cp:lastModifiedBy/>
  <cp:lastPrinted>2026-01-21T11:27:00Z</cp:lastPrinted>
  <dcterms:modified xsi:type="dcterms:W3CDTF">2026-06-09T15:15:00Z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