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23" w:rsidRDefault="009D6B97">
      <w:pPr>
        <w:pStyle w:val="1"/>
        <w:ind w:firstLine="5387"/>
      </w:pPr>
      <w:r>
        <w:rPr>
          <w:b w:val="0"/>
        </w:rPr>
        <w:t>УТВЕРЖДЕНА</w:t>
      </w:r>
    </w:p>
    <w:p w:rsidR="009E6A23" w:rsidRDefault="009D6B97">
      <w:pPr>
        <w:ind w:firstLine="5387"/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E6A23" w:rsidRDefault="009D6B97">
      <w:pPr>
        <w:ind w:firstLine="5387"/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9E6A23" w:rsidRDefault="009D6B97">
      <w:pPr>
        <w:ind w:firstLine="5387"/>
      </w:pPr>
      <w:r w:rsidRPr="00142CDF">
        <w:rPr>
          <w:rFonts w:ascii="Times New Roman" w:hAnsi="Times New Roman"/>
          <w:sz w:val="28"/>
          <w:szCs w:val="28"/>
        </w:rPr>
        <w:t>Челябинской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</w:p>
    <w:p w:rsidR="009E6A23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03.10.2022 № 2616-п</w:t>
      </w:r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_____________№_________)</w:t>
      </w:r>
    </w:p>
    <w:p w:rsidR="009E6A23" w:rsidRDefault="009E6A23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E6A23" w:rsidRDefault="009E6A23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9E6A23" w:rsidRDefault="009D6B97">
      <w:pPr>
        <w:shd w:val="clear" w:color="auto" w:fill="FFFFFF"/>
        <w:jc w:val="center"/>
        <w:sectPr w:rsidR="009E6A23">
          <w:headerReference w:type="first" r:id="rId9"/>
          <w:footerReference w:type="first" r:id="rId10"/>
          <w:pgSz w:w="11906" w:h="16838"/>
          <w:pgMar w:top="1134" w:right="567" w:bottom="1134" w:left="1701" w:header="0" w:footer="0" w:gutter="0"/>
          <w:pgNumType w:start="2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 w:rsidR="009E6A23" w:rsidRDefault="009D6B97">
      <w:pPr>
        <w:tabs>
          <w:tab w:val="left" w:pos="5103"/>
        </w:tabs>
        <w:jc w:val="center"/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9E6A23" w:rsidRDefault="009D6B97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E6A23" w:rsidRDefault="009D6B97"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9E6A23" w:rsidRDefault="009D6B97"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9E6A23" w:rsidRDefault="009E6A23"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УГХ, городской округ).</w:t>
      </w: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Соисполнители муниципальной программы: 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управление архитектуры и градостроительства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</w:t>
      </w:r>
      <w:proofErr w:type="spellStart"/>
      <w:r>
        <w:rPr>
          <w:rFonts w:ascii="Times New Roman" w:hAnsi="Times New Roman"/>
          <w:sz w:val="28"/>
          <w:szCs w:val="28"/>
        </w:rPr>
        <w:t>УАиГ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«Управление благоустройства» (далее - МКУ КГО «Управление благоустройства»);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«Городская служба заказчика» (далее – МУ КГО «ГСЗ»).</w:t>
      </w: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Цели, задачи и целевые показатели муниципальной программы:                                                                                                                           </w:t>
      </w:r>
    </w:p>
    <w:p w:rsidR="009E6A23" w:rsidRDefault="009D6B97">
      <w:pPr>
        <w:pStyle w:val="af"/>
        <w:tabs>
          <w:tab w:val="left" w:pos="993"/>
          <w:tab w:val="left" w:pos="10080"/>
        </w:tabs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tbl>
      <w:tblPr>
        <w:tblW w:w="10245" w:type="dxa"/>
        <w:tblInd w:w="-2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743"/>
        <w:gridCol w:w="4890"/>
        <w:gridCol w:w="1565"/>
        <w:gridCol w:w="1576"/>
        <w:gridCol w:w="1471"/>
      </w:tblGrid>
      <w:tr w:rsidR="009E6A23">
        <w:trPr>
          <w:trHeight w:val="450"/>
        </w:trPr>
        <w:tc>
          <w:tcPr>
            <w:tcW w:w="7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№</w:t>
            </w:r>
          </w:p>
          <w:p w:rsidR="009E6A23" w:rsidRDefault="009D6B97">
            <w:pPr>
              <w:tabs>
                <w:tab w:val="left" w:pos="10080"/>
              </w:tabs>
              <w:jc w:val="center"/>
            </w:pPr>
            <w:proofErr w:type="gramStart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/п</w:t>
            </w:r>
          </w:p>
          <w:p w:rsidR="009E6A23" w:rsidRDefault="009E6A23">
            <w:pPr>
              <w:tabs>
                <w:tab w:val="left" w:pos="10080"/>
              </w:tabs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2100"/>
                <w:tab w:val="left" w:pos="10080"/>
              </w:tabs>
              <w:ind w:left="163" w:right="34"/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6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Значение целевого показателя</w:t>
            </w:r>
          </w:p>
        </w:tc>
      </w:tr>
      <w:tr w:rsidR="009E6A23">
        <w:trPr>
          <w:trHeight w:val="240"/>
        </w:trPr>
        <w:tc>
          <w:tcPr>
            <w:tcW w:w="7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E6A23" w:rsidRDefault="009E6A23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E6A23" w:rsidRDefault="009E6A23">
            <w:pPr>
              <w:ind w:left="163" w:right="34"/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 год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 год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2025 год</w:t>
            </w:r>
          </w:p>
        </w:tc>
      </w:tr>
      <w:tr w:rsidR="009E6A23">
        <w:trPr>
          <w:trHeight w:val="604"/>
        </w:trPr>
        <w:tc>
          <w:tcPr>
            <w:tcW w:w="1024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муниципальной программы: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9E6A23">
        <w:trPr>
          <w:trHeight w:val="150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</w:t>
            </w:r>
          </w:p>
        </w:tc>
        <w:tc>
          <w:tcPr>
            <w:tcW w:w="9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 w:rsidR="009E6A23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1.1.1.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дворовых территорий (ед.)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t>0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 w:rsidR="009E6A23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</w:t>
            </w:r>
          </w:p>
        </w:tc>
        <w:tc>
          <w:tcPr>
            <w:tcW w:w="9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9E6A23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1.2.1.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территорий общего пользования (ед.)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t>2</w:t>
            </w:r>
          </w:p>
        </w:tc>
      </w:tr>
    </w:tbl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реализации муниципальной программы: 2023-2025 годы. Муниципальная программа реализуется в один этап.</w:t>
      </w:r>
    </w:p>
    <w:p w:rsidR="009E6A23" w:rsidRDefault="009D6B97">
      <w:pPr>
        <w:pStyle w:val="af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программы.</w:t>
      </w:r>
    </w:p>
    <w:p w:rsidR="009E6A23" w:rsidRDefault="009D6B97">
      <w:pPr>
        <w:shd w:val="clear" w:color="auto" w:fill="FFFFFF"/>
        <w:tabs>
          <w:tab w:val="left" w:pos="993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2023- 2025 годах составит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>, в том числе:</w:t>
      </w:r>
    </w:p>
    <w:p w:rsidR="009E6A23" w:rsidRDefault="009D6B97">
      <w:pPr>
        <w:shd w:val="clear" w:color="auto" w:fill="FFFFFF"/>
        <w:ind w:firstLine="709"/>
        <w:jc w:val="right"/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10245" w:type="dxa"/>
        <w:tblInd w:w="-2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1173"/>
        <w:gridCol w:w="2268"/>
        <w:gridCol w:w="2268"/>
        <w:gridCol w:w="2268"/>
        <w:gridCol w:w="2268"/>
      </w:tblGrid>
      <w:tr w:rsidR="009E6A23">
        <w:trPr>
          <w:trHeight w:val="169"/>
        </w:trPr>
        <w:tc>
          <w:tcPr>
            <w:tcW w:w="1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Год</w:t>
            </w:r>
          </w:p>
        </w:tc>
        <w:tc>
          <w:tcPr>
            <w:tcW w:w="907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Источник финансирования (тыс. руб.)</w:t>
            </w:r>
          </w:p>
        </w:tc>
      </w:tr>
      <w:tr w:rsidR="009E6A23">
        <w:trPr>
          <w:trHeight w:val="169"/>
        </w:trPr>
        <w:tc>
          <w:tcPr>
            <w:tcW w:w="11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E6A23" w:rsidRDefault="009E6A23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</w:t>
            </w:r>
          </w:p>
        </w:tc>
      </w:tr>
      <w:tr w:rsidR="009E6A2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49 991,60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2 581,30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3304_1319489174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2 767,00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55 339,90</w:t>
            </w:r>
          </w:p>
        </w:tc>
      </w:tr>
      <w:tr w:rsidR="009E6A2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55 533,10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5C42E1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2 581,3</w:t>
            </w:r>
            <w:r w:rsidR="009D6B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5C42E1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3 058,70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5C42E1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61 173,10</w:t>
            </w:r>
          </w:p>
        </w:tc>
      </w:tr>
      <w:tr w:rsidR="009E6A2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6A23">
        <w:trPr>
          <w:trHeight w:val="169"/>
        </w:trPr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5C42E1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105 524,70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5C42E1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5 162,60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5C42E1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5 825,70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5C42E1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116 513,00</w:t>
            </w:r>
          </w:p>
        </w:tc>
      </w:tr>
    </w:tbl>
    <w:p w:rsidR="009E6A23" w:rsidRDefault="009E6A23">
      <w:pPr>
        <w:jc w:val="both"/>
        <w:rPr>
          <w:rFonts w:ascii="Times New Roman" w:hAnsi="Times New Roman"/>
          <w:sz w:val="28"/>
          <w:szCs w:val="28"/>
        </w:rPr>
      </w:pPr>
    </w:p>
    <w:p w:rsidR="009E6A23" w:rsidRDefault="009D6B97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 w:rsidR="009E6A23" w:rsidRDefault="009D6B97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>
        <w:rPr>
          <w:rFonts w:ascii="Times New Roman" w:hAnsi="Times New Roman"/>
          <w:color w:val="1C1C1C"/>
          <w:sz w:val="28"/>
          <w:szCs w:val="28"/>
        </w:rPr>
        <w:t>благоустройство 3 дворовых территорий;</w:t>
      </w:r>
    </w:p>
    <w:p w:rsidR="009E6A23" w:rsidRDefault="009D6B97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8 общественных территорий;</w:t>
      </w:r>
    </w:p>
    <w:p w:rsidR="009E6A23" w:rsidRDefault="009E6A23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        Н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астоящая муниципальная программа разработана в соответствии с выполнением мероприятий по реализации на территории Челябинской области регионального проекта «Формирование комфортной городской среды» национального проекта «Жилье и городская среда» и приоритетного проекта «Формирование современной городской среды» в рамках стратегического направления «ЖКХ и городская среда» в период 2023-2025 годов.</w:t>
      </w:r>
    </w:p>
    <w:p w:rsidR="009E6A23" w:rsidRDefault="009D6B97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лагоустройство является составляющей частью городской среды, которая может сформировать комфорт, эстетическую и функциональную привлекательность, качество и удобство жизни горожан. Учитывая важную роль благоустройства и активное развитие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благоустроительной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деятельности в городском округе, комплексное благоустройство формируется в особую отрасль проектирования и городского хозяйства. </w:t>
      </w:r>
      <w:r>
        <w:rPr>
          <w:rFonts w:ascii="Times New Roman" w:hAnsi="Times New Roman" w:cs="Times New Roman"/>
          <w:color w:val="1C1C1C"/>
          <w:sz w:val="28"/>
          <w:szCs w:val="28"/>
        </w:rPr>
        <w:t>Российскому экономическому и хозяйственному пространству свойственна большая неоднородность, и поэтому разработка программы развития благоустройства городского округа на основе эффективного использования услуг благоустройства является сложной задачей.</w:t>
      </w:r>
    </w:p>
    <w:p w:rsidR="009E6A23" w:rsidRDefault="009D6B97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 связи с экономическим ростом городского округа и повышением технологического уровня промышленности все более острой становится проблема благоустройства городской территории и управления услугами благоустройства городского округа. Эта проблема требует тщательно взвешенных управленческих решений, связанных с планированием работы предприятий благоустройства и использованием территориальных ресурсов.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Использование программного метода, увязывающего цель, задачу и мероприятия по срокам и ресурсам, создаст условия для максимально эффективного использования бюджетных сре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>оответствии с приоритетами муниципальной политики в сфере благоустройства городского округа.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Реализация муниципальной программы позволит повысить уровень благоустройства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территорий общего пользования (парки, скверы, территории, прилегающие к объектам социальной инфраструктуры и т.д.) и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дворовых территорий городского округа.</w:t>
      </w:r>
    </w:p>
    <w:p w:rsidR="009E6A23" w:rsidRDefault="009D6B97"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В муниципальной программе используются следующие понятия: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дворовая территория - совокупность территорий,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общественная территория – территория муниципального образования, которая постоянно доступна для общего пользования, в том числе площадь, 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т.п.);</w:t>
      </w:r>
    </w:p>
    <w:p w:rsidR="009E6A23" w:rsidRDefault="009D6B97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- перечень работ по благоустройству дворовых территорий, включающий в себя: 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площадок.</w:t>
      </w:r>
    </w:p>
    <w:p w:rsidR="009E6A23" w:rsidRDefault="009D6B97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по благоустройству дворовых территорий является исчерпывающим и не может быть расширен;</w:t>
      </w:r>
    </w:p>
    <w:p w:rsidR="009E6A23" w:rsidRDefault="009D6B97">
      <w:pPr>
        <w:pStyle w:val="af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дополнительный перечень работ: перечень работ по благоустройству дворовых территорий, включающий в себя: ремонт и установку ограждений, озеленение территорий, иные виды работ.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работ из дополнительного перечня работ по благоустройству дворовых территорий составляет не менее 20 % в случае включения в муниципальную программу дворовой территории после вступления в силу постановления Правительства Российской Федерации от 09.02.2019 № 106 «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приложение № 15 к государственной программе Российской Федерации "Обеспечение доступным и комфортным жильем и коммунальными услугами граждан Российской Федерации»</w:t>
      </w:r>
      <w:r>
        <w:rPr>
          <w:rFonts w:ascii="Arial" w:eastAsia="Arial" w:hAnsi="Arial"/>
          <w:color w:val="333333"/>
          <w:shd w:val="clear" w:color="auto" w:fill="FFFFFF"/>
        </w:rPr>
        <w:t> 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(далее - постановление Правительства РФ </w:t>
      </w:r>
      <w:r>
        <w:rPr>
          <w:rFonts w:ascii="Times New Roman" w:hAnsi="Times New Roman" w:cs="Times New Roman"/>
          <w:color w:val="1C1C1C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09.02.2019 № 106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).</w:t>
      </w:r>
      <w:proofErr w:type="gramEnd"/>
    </w:p>
    <w:p w:rsidR="009E6A23" w:rsidRDefault="009D6B97"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Порядок аккумулирования и расходования </w:t>
      </w:r>
      <w:proofErr w:type="gramStart"/>
      <w:r>
        <w:rPr>
          <w:rFonts w:ascii="Times New Roman" w:hAnsi="Times New Roman" w:cs="Times New Roman"/>
          <w:bCs/>
          <w:color w:val="1C1C1C"/>
          <w:sz w:val="28"/>
          <w:szCs w:val="28"/>
        </w:rPr>
        <w:t>средств заинтересованных лиц, направляемых на выполнение дополнительного перечня работ по благоустройству дворовых территорий утверждается</w:t>
      </w:r>
      <w:proofErr w:type="gramEnd"/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нормативным правовым актом администрации городского округа.</w:t>
      </w:r>
    </w:p>
    <w:p w:rsidR="009E6A23" w:rsidRDefault="009E6A23">
      <w:pPr>
        <w:shd w:val="clear" w:color="auto" w:fill="FFFFFF"/>
        <w:ind w:firstLine="737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shd w:val="clear" w:color="auto" w:fill="FFFFFF"/>
        <w:ind w:firstLine="7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. Основные цели и задачи муниципальной программы</w:t>
      </w:r>
    </w:p>
    <w:p w:rsidR="009E6A23" w:rsidRDefault="009E6A23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Целью муниципальной программы является создание наиболее благоприятных и комфортных условий жизнедеятельности населения городского округа.</w:t>
      </w:r>
    </w:p>
    <w:p w:rsidR="009E6A23" w:rsidRDefault="009D6B97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Основными задачами муниципальной программы являются: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повышение уровня благоустройства дворовых территорий городского округа;</w:t>
      </w:r>
    </w:p>
    <w:p w:rsidR="009E6A23" w:rsidRDefault="009D6B97">
      <w:pPr>
        <w:pStyle w:val="af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  <w:sectPr w:rsidR="009E6A23" w:rsidSect="00142CDF">
          <w:headerReference w:type="default" r:id="rId11"/>
          <w:pgSz w:w="11906" w:h="16838"/>
          <w:pgMar w:top="1276" w:right="709" w:bottom="925" w:left="1134" w:header="567" w:footer="0" w:gutter="0"/>
          <w:pgNumType w:start="2"/>
          <w:cols w:space="720"/>
          <w:formProt w:val="0"/>
          <w:titlePg/>
          <w:docGrid w:linePitch="326"/>
        </w:sect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округа.</w:t>
      </w:r>
    </w:p>
    <w:p w:rsidR="009E6A23" w:rsidRDefault="009D6B97">
      <w:pPr>
        <w:pStyle w:val="ConsPlusCell"/>
        <w:shd w:val="clear" w:color="auto" w:fill="FFFFFF"/>
        <w:ind w:firstLine="540"/>
        <w:jc w:val="center"/>
      </w:pPr>
      <w:r>
        <w:rPr>
          <w:rFonts w:ascii="Times New Roman" w:hAnsi="Times New Roman"/>
          <w:bCs/>
          <w:color w:val="1C1C1C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color w:val="1C1C1C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1C1C1C"/>
          <w:sz w:val="28"/>
          <w:szCs w:val="28"/>
        </w:rPr>
        <w:t>. Система мероприятий и финансово-экономическое обоснование муниципальной программы</w:t>
      </w:r>
    </w:p>
    <w:p w:rsidR="009E6A23" w:rsidRDefault="009D6B97">
      <w:pPr>
        <w:pStyle w:val="ConsPlusCell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Таблица 3</w:t>
      </w:r>
    </w:p>
    <w:tbl>
      <w:tblPr>
        <w:tblW w:w="15730" w:type="dxa"/>
        <w:tblInd w:w="-10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960"/>
        <w:gridCol w:w="27"/>
        <w:gridCol w:w="4095"/>
        <w:gridCol w:w="157"/>
        <w:gridCol w:w="1844"/>
        <w:gridCol w:w="83"/>
        <w:gridCol w:w="1335"/>
        <w:gridCol w:w="39"/>
        <w:gridCol w:w="1786"/>
        <w:gridCol w:w="19"/>
        <w:gridCol w:w="1772"/>
        <w:gridCol w:w="77"/>
        <w:gridCol w:w="1714"/>
        <w:gridCol w:w="132"/>
        <w:gridCol w:w="1505"/>
        <w:gridCol w:w="175"/>
        <w:gridCol w:w="10"/>
      </w:tblGrid>
      <w:tr w:rsidR="009E6A23">
        <w:trPr>
          <w:gridAfter w:val="1"/>
          <w:wAfter w:w="10" w:type="dxa"/>
          <w:trHeight w:val="656"/>
        </w:trPr>
        <w:tc>
          <w:tcPr>
            <w:tcW w:w="98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 w:rsidR="009E6A23" w:rsidRDefault="009D6B97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721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Объем финансирования (тыс. руб.)</w:t>
            </w:r>
          </w:p>
        </w:tc>
      </w:tr>
      <w:tr w:rsidR="009E6A23">
        <w:trPr>
          <w:gridAfter w:val="1"/>
          <w:wAfter w:w="10" w:type="dxa"/>
          <w:cantSplit/>
          <w:trHeight w:val="345"/>
        </w:trPr>
        <w:tc>
          <w:tcPr>
            <w:tcW w:w="987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t>Федеральный бюджет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t>Областной бюджет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jc w:val="center"/>
            </w:pPr>
            <w:r>
              <w:t>Местный бюджет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jc w:val="center"/>
            </w:pPr>
            <w:r>
              <w:t>Итого</w:t>
            </w:r>
          </w:p>
        </w:tc>
      </w:tr>
      <w:tr w:rsidR="009E6A23">
        <w:trPr>
          <w:gridAfter w:val="1"/>
          <w:wAfter w:w="10" w:type="dxa"/>
          <w:cantSplit/>
          <w:trHeight w:val="242"/>
        </w:trPr>
        <w:tc>
          <w:tcPr>
            <w:tcW w:w="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jc w:val="center"/>
            </w:pPr>
            <w:r>
              <w:t>8</w:t>
            </w:r>
          </w:p>
        </w:tc>
      </w:tr>
      <w:tr w:rsidR="009E6A23">
        <w:trPr>
          <w:gridAfter w:val="1"/>
          <w:wAfter w:w="10" w:type="dxa"/>
          <w:cantSplit/>
          <w:trHeight w:val="351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Цель -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9E6A23">
        <w:trPr>
          <w:gridAfter w:val="1"/>
          <w:wAfter w:w="10" w:type="dxa"/>
          <w:cantSplit/>
          <w:trHeight w:val="272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 xml:space="preserve">  Задача 1 – повышение уровня благоустройства дворовых территорий городского округа</w:t>
            </w:r>
          </w:p>
        </w:tc>
      </w:tr>
      <w:tr w:rsidR="009E6A23">
        <w:trPr>
          <w:gridAfter w:val="1"/>
          <w:wAfter w:w="10" w:type="dxa"/>
          <w:cantSplit/>
          <w:trHeight w:val="272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Адресный перечень дворовых территорий</w:t>
            </w:r>
          </w:p>
        </w:tc>
      </w:tr>
      <w:tr w:rsidR="009E6A23">
        <w:trPr>
          <w:gridAfter w:val="1"/>
          <w:wAfter w:w="10" w:type="dxa"/>
          <w:cantSplit/>
          <w:trHeight w:val="409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 w:rsidR="009E6A23">
        <w:trPr>
          <w:gridAfter w:val="1"/>
          <w:wAfter w:w="10" w:type="dxa"/>
          <w:cantSplit/>
          <w:trHeight w:val="409"/>
        </w:trPr>
        <w:tc>
          <w:tcPr>
            <w:tcW w:w="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ул. Томилова, 25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4 308,81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222,48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241,01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4 772,30</w:t>
            </w:r>
          </w:p>
        </w:tc>
      </w:tr>
      <w:tr w:rsidR="009E6A23">
        <w:trPr>
          <w:gridAfter w:val="1"/>
          <w:wAfter w:w="10" w:type="dxa"/>
          <w:cantSplit/>
          <w:trHeight w:val="409"/>
        </w:trPr>
        <w:tc>
          <w:tcPr>
            <w:tcW w:w="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Копейск, ул. </w:t>
            </w:r>
            <w:proofErr w:type="gramStart"/>
            <w:r>
              <w:rPr>
                <w:rFonts w:ascii="Times New Roman" w:hAnsi="Times New Roman"/>
              </w:rPr>
              <w:t>Комсомольская</w:t>
            </w:r>
            <w:proofErr w:type="gramEnd"/>
            <w:r>
              <w:rPr>
                <w:rFonts w:ascii="Times New Roman" w:hAnsi="Times New Roman"/>
              </w:rPr>
              <w:t>, 29, 31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2 793,84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144,26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156,27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3 094,37</w:t>
            </w:r>
          </w:p>
        </w:tc>
      </w:tr>
      <w:tr w:rsidR="009E6A23">
        <w:trPr>
          <w:gridAfter w:val="1"/>
          <w:wAfter w:w="10" w:type="dxa"/>
          <w:cantSplit/>
          <w:trHeight w:val="409"/>
        </w:trPr>
        <w:tc>
          <w:tcPr>
            <w:tcW w:w="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Копейск, пр. Победы, 35, 35А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4 313,04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241,25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4 776,99</w:t>
            </w:r>
          </w:p>
        </w:tc>
      </w:tr>
      <w:tr w:rsidR="009E6A23">
        <w:trPr>
          <w:gridAfter w:val="1"/>
          <w:wAfter w:w="10" w:type="dxa"/>
          <w:cantSplit/>
          <w:trHeight w:val="409"/>
        </w:trPr>
        <w:tc>
          <w:tcPr>
            <w:tcW w:w="850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в 2023 году:</w:t>
            </w:r>
          </w:p>
        </w:tc>
        <w:tc>
          <w:tcPr>
            <w:tcW w:w="18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355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11 415,69</w:t>
            </w:r>
          </w:p>
        </w:tc>
        <w:tc>
          <w:tcPr>
            <w:tcW w:w="1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589,44</w:t>
            </w:r>
          </w:p>
        </w:tc>
        <w:tc>
          <w:tcPr>
            <w:tcW w:w="18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638,53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12 643,66</w:t>
            </w:r>
          </w:p>
        </w:tc>
      </w:tr>
      <w:tr w:rsidR="009E6A23">
        <w:trPr>
          <w:gridAfter w:val="1"/>
          <w:wAfter w:w="10" w:type="dxa"/>
          <w:cantSplit/>
          <w:trHeight w:val="635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9E6A23">
        <w:trPr>
          <w:gridAfter w:val="1"/>
          <w:wAfter w:w="10" w:type="dxa"/>
          <w:cantSplit/>
          <w:trHeight w:val="90"/>
        </w:trPr>
        <w:tc>
          <w:tcPr>
            <w:tcW w:w="15720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Адресный перечень общественных территорий</w:t>
            </w:r>
          </w:p>
        </w:tc>
      </w:tr>
      <w:tr w:rsidR="009E6A23">
        <w:trPr>
          <w:cantSplit/>
          <w:trHeight w:val="304"/>
        </w:trPr>
        <w:tc>
          <w:tcPr>
            <w:tcW w:w="15545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85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9E6A23" w:rsidRDefault="009E6A23"/>
        </w:tc>
      </w:tr>
      <w:tr w:rsidR="009E6A23">
        <w:trPr>
          <w:cantSplit/>
          <w:trHeight w:val="304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Благоустройство прилегающей территории водоема по пр. Коммунистический,  г. Копейск</w:t>
            </w:r>
          </w:p>
        </w:tc>
        <w:tc>
          <w:tcPr>
            <w:tcW w:w="20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2D32F8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11 627,63</w:t>
            </w:r>
          </w:p>
          <w:p w:rsidR="002D32F8" w:rsidRDefault="002D32F8" w:rsidP="002D32F8">
            <w:pPr>
              <w:tabs>
                <w:tab w:val="left" w:pos="10080"/>
              </w:tabs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600,39</w:t>
            </w: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2D32F8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641,57</w:t>
            </w:r>
          </w:p>
        </w:tc>
        <w:tc>
          <w:tcPr>
            <w:tcW w:w="1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12 869,59</w:t>
            </w:r>
          </w:p>
        </w:tc>
        <w:tc>
          <w:tcPr>
            <w:tcW w:w="185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9E6A23" w:rsidRDefault="009E6A23">
            <w:pPr>
              <w:rPr>
                <w:rFonts w:ascii="Times New Roman" w:hAnsi="Times New Roman" w:cs="Times New Roman"/>
              </w:rPr>
            </w:pPr>
          </w:p>
        </w:tc>
      </w:tr>
      <w:tr w:rsidR="009E6A23">
        <w:trPr>
          <w:cantSplit/>
          <w:trHeight w:val="304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Благоустройство сквера имени Сутягина (возле МОУ СОШ № 6),</w:t>
            </w:r>
          </w:p>
          <w:p w:rsidR="009E6A23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г. Копейск</w:t>
            </w:r>
          </w:p>
        </w:tc>
        <w:tc>
          <w:tcPr>
            <w:tcW w:w="20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2D32F8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9 945,37</w:t>
            </w: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513,53</w:t>
            </w: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2D32F8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548,75</w:t>
            </w:r>
          </w:p>
        </w:tc>
        <w:tc>
          <w:tcPr>
            <w:tcW w:w="1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9E6A23" w:rsidRDefault="002D32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11 007,65</w:t>
            </w:r>
          </w:p>
        </w:tc>
        <w:tc>
          <w:tcPr>
            <w:tcW w:w="185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9E6A23" w:rsidRDefault="009E6A23">
            <w:pPr>
              <w:rPr>
                <w:rFonts w:ascii="Times New Roman" w:hAnsi="Times New Roman" w:cs="Times New Roman"/>
              </w:rPr>
            </w:pPr>
          </w:p>
        </w:tc>
      </w:tr>
      <w:tr w:rsidR="009E6A23">
        <w:trPr>
          <w:cantSplit/>
          <w:trHeight w:val="304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Благоустройство сквера на пр. Победы (между домами 28А и 20А), </w:t>
            </w:r>
          </w:p>
          <w:p w:rsidR="009E6A23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г. Копейск</w:t>
            </w:r>
          </w:p>
        </w:tc>
        <w:tc>
          <w:tcPr>
            <w:tcW w:w="20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3 279,21</w:t>
            </w: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169,32</w:t>
            </w:r>
          </w:p>
        </w:tc>
        <w:tc>
          <w:tcPr>
            <w:tcW w:w="1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180,93</w:t>
            </w:r>
          </w:p>
        </w:tc>
        <w:tc>
          <w:tcPr>
            <w:tcW w:w="1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9E6A23" w:rsidRDefault="00420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3 629,46</w:t>
            </w:r>
          </w:p>
        </w:tc>
        <w:tc>
          <w:tcPr>
            <w:tcW w:w="185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9E6A23" w:rsidRDefault="009E6A23">
            <w:pPr>
              <w:rPr>
                <w:rFonts w:ascii="Times New Roman" w:hAnsi="Times New Roman" w:cs="Times New Roman"/>
              </w:rPr>
            </w:pPr>
          </w:p>
        </w:tc>
      </w:tr>
    </w:tbl>
    <w:p w:rsidR="009E6A23" w:rsidRDefault="009E6A23"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 w:rsidR="009E6A23" w:rsidRDefault="009E6A23"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 w:rsidR="009E6A23" w:rsidRDefault="009E6A23"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 w:rsidR="009E6A23" w:rsidRDefault="009E6A23">
      <w:pPr>
        <w:shd w:val="clear" w:color="auto" w:fill="FFFFFF"/>
        <w:ind w:left="-1134"/>
        <w:jc w:val="right"/>
        <w:rPr>
          <w:rFonts w:ascii="Times New Roman" w:hAnsi="Times New Roman"/>
          <w:bCs/>
          <w:color w:val="1C1C1C"/>
        </w:rPr>
      </w:pPr>
    </w:p>
    <w:p w:rsidR="009E6A23" w:rsidRDefault="009D6B97">
      <w:pPr>
        <w:shd w:val="clear" w:color="auto" w:fill="FFFFFF"/>
        <w:ind w:left="-1134"/>
        <w:jc w:val="right"/>
        <w:rPr>
          <w:rFonts w:ascii="Times New Roman" w:hAnsi="Times New Roman"/>
          <w:bCs/>
          <w:color w:val="1C1C1C"/>
        </w:rPr>
      </w:pPr>
      <w:r>
        <w:rPr>
          <w:rFonts w:ascii="Times New Roman" w:hAnsi="Times New Roman"/>
          <w:bCs/>
          <w:color w:val="1C1C1C"/>
        </w:rPr>
        <w:t>Окончание таблицы 3</w:t>
      </w:r>
    </w:p>
    <w:tbl>
      <w:tblPr>
        <w:tblW w:w="15730" w:type="dxa"/>
        <w:tblInd w:w="-10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972"/>
        <w:gridCol w:w="4176"/>
        <w:gridCol w:w="1964"/>
        <w:gridCol w:w="1435"/>
        <w:gridCol w:w="1787"/>
        <w:gridCol w:w="1792"/>
        <w:gridCol w:w="1792"/>
        <w:gridCol w:w="1812"/>
      </w:tblGrid>
      <w:tr w:rsidR="009E6A23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9E6A23" w:rsidRDefault="009D6B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6A23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Pr="009D6B97" w:rsidRDefault="009D6B97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Благоустройство сквера ДК им. Вахрушева и аллеи по ул. 22 Партсъезда в </w:t>
            </w:r>
            <w:proofErr w:type="spellStart"/>
            <w:r>
              <w:rPr>
                <w:rFonts w:ascii="Times New Roman" w:eastAsia="Calibri" w:hAnsi="Times New Roman"/>
              </w:rPr>
              <w:t>Вахрушевском</w:t>
            </w:r>
            <w:proofErr w:type="spellEnd"/>
            <w:r>
              <w:rPr>
                <w:rFonts w:ascii="Times New Roman" w:eastAsia="Calibri" w:hAnsi="Times New Roman"/>
              </w:rPr>
              <w:t xml:space="preserve"> жилом массиве, г. Копейск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13 723,70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708,62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757,22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420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15 189,54</w:t>
            </w:r>
          </w:p>
        </w:tc>
      </w:tr>
      <w:tr w:rsidR="009E6A23">
        <w:trPr>
          <w:cantSplit/>
          <w:trHeight w:val="213"/>
        </w:trPr>
        <w:tc>
          <w:tcPr>
            <w:tcW w:w="85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2023 году: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38 575,91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420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1 991,86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2 128,47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420849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42 696,24</w:t>
            </w:r>
          </w:p>
        </w:tc>
      </w:tr>
      <w:tr w:rsidR="009E6A23">
        <w:trPr>
          <w:cantSplit/>
          <w:trHeight w:val="213"/>
        </w:trPr>
        <w:tc>
          <w:tcPr>
            <w:tcW w:w="157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</w:tr>
      <w:tr w:rsidR="009E6A23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9E6A23" w:rsidRDefault="009D6B97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детской площадки в районе дома № 29 по ул. Гладкова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27 766,55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1 290,65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1 529,35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30 586,55</w:t>
            </w:r>
          </w:p>
        </w:tc>
      </w:tr>
      <w:tr w:rsidR="009E6A23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9E6A23" w:rsidRDefault="009D6B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детской площадки по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Бубнова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(севернее жилого дома </w:t>
            </w:r>
            <w:proofErr w:type="gramEnd"/>
          </w:p>
          <w:p w:rsidR="009E6A23" w:rsidRPr="0018428B" w:rsidRDefault="009D6B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4) п. Зуевка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27 766,55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1 290,65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1 529,35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30 586,55</w:t>
            </w:r>
          </w:p>
        </w:tc>
      </w:tr>
      <w:tr w:rsidR="009E6A23">
        <w:trPr>
          <w:cantSplit/>
          <w:trHeight w:val="213"/>
        </w:trPr>
        <w:tc>
          <w:tcPr>
            <w:tcW w:w="85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в 2024 году: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55 533,10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184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2 581,30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3 058,70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18428B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61 173,10</w:t>
            </w:r>
          </w:p>
        </w:tc>
      </w:tr>
      <w:tr w:rsidR="009E6A23">
        <w:trPr>
          <w:cantSplit/>
          <w:trHeight w:val="213"/>
        </w:trPr>
        <w:tc>
          <w:tcPr>
            <w:tcW w:w="157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9E6A23">
        <w:trPr>
          <w:cantSplit/>
          <w:trHeight w:val="1217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2.7.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9E6A23" w:rsidRDefault="009D6B9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Благоустройство сквера за ДК им. Маяковского, ул.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Коммунистическая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д. 12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Старокамышинском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жилом массиве, г. Копейск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6A23">
        <w:trPr>
          <w:cantSplit/>
          <w:trHeight w:val="1217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9E6A23" w:rsidRPr="00F055DD" w:rsidRDefault="009D6B9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6B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Благоустройство сквера в районе ДК им. </w:t>
            </w:r>
            <w:r w:rsidRPr="00F055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Петрякова на ул. Электровозная, </w:t>
            </w:r>
          </w:p>
          <w:p w:rsidR="009E6A23" w:rsidRPr="009D6B97" w:rsidRDefault="009D6B9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D6B97">
              <w:rPr>
                <w:rFonts w:ascii="Times New Roman" w:eastAsia="Times New Roman" w:hAnsi="Times New Roman"/>
                <w:color w:val="000000"/>
                <w:lang w:eastAsia="ru-RU"/>
              </w:rPr>
              <w:t>д. 11 в Железнодорожном жилом массиве, г. Копейск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6A23">
        <w:trPr>
          <w:cantSplit/>
          <w:trHeight w:val="213"/>
        </w:trPr>
        <w:tc>
          <w:tcPr>
            <w:tcW w:w="85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2025 году: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428B">
        <w:trPr>
          <w:cantSplit/>
          <w:trHeight w:val="213"/>
        </w:trPr>
        <w:tc>
          <w:tcPr>
            <w:tcW w:w="85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18428B" w:rsidRDefault="00184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программе: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18428B" w:rsidRPr="0018428B" w:rsidRDefault="0018428B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 w:rsidRPr="0018428B">
              <w:rPr>
                <w:rFonts w:ascii="Times New Roman" w:hAnsi="Times New Roman" w:cs="Times New Roman"/>
              </w:rPr>
              <w:t>105 524,70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18428B" w:rsidRPr="0018428B" w:rsidRDefault="0018428B" w:rsidP="0035585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 w:rsidRPr="0018428B">
              <w:rPr>
                <w:rFonts w:ascii="Times New Roman" w:hAnsi="Times New Roman" w:cs="Times New Roman"/>
              </w:rPr>
              <w:t>5 162,60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8428B" w:rsidRPr="0018428B" w:rsidRDefault="0018428B" w:rsidP="0035585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 w:rsidRPr="0018428B">
              <w:rPr>
                <w:rFonts w:ascii="Times New Roman" w:hAnsi="Times New Roman" w:cs="Times New Roman"/>
              </w:rPr>
              <w:t>5 825,70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8428B" w:rsidRPr="0018428B" w:rsidRDefault="0018428B" w:rsidP="0035585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 w:rsidRPr="0018428B">
              <w:rPr>
                <w:rFonts w:ascii="Times New Roman" w:hAnsi="Times New Roman" w:cs="Times New Roman"/>
              </w:rPr>
              <w:t>116 513,00</w:t>
            </w:r>
          </w:p>
        </w:tc>
      </w:tr>
    </w:tbl>
    <w:p w:rsidR="009E6A23" w:rsidRDefault="009E6A23">
      <w:pPr>
        <w:shd w:val="clear" w:color="auto" w:fill="FFFFFF"/>
        <w:rPr>
          <w:rFonts w:ascii="Times New Roman" w:hAnsi="Times New Roman"/>
          <w:bCs/>
          <w:color w:val="1C1C1C"/>
        </w:rPr>
        <w:sectPr w:rsidR="009E6A23">
          <w:headerReference w:type="default" r:id="rId12"/>
          <w:pgSz w:w="16838" w:h="11906" w:orient="landscape"/>
          <w:pgMar w:top="1268" w:right="567" w:bottom="567" w:left="1701" w:header="709" w:footer="0" w:gutter="0"/>
          <w:pgNumType w:start="6"/>
          <w:cols w:space="720"/>
          <w:formProt w:val="0"/>
          <w:docGrid w:linePitch="360" w:charSpace="4096"/>
        </w:sectPr>
      </w:pPr>
    </w:p>
    <w:p w:rsidR="009E6A23" w:rsidRDefault="009D6B97"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. Организация управления и механизм реализации </w:t>
      </w:r>
    </w:p>
    <w:p w:rsidR="009E6A23" w:rsidRDefault="009D6B97"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муниципальной программы</w:t>
      </w:r>
    </w:p>
    <w:p w:rsidR="009E6A23" w:rsidRDefault="009E6A23"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муниципальной программы осуществляется в соответствии с Федеральным законом от 06 октября 2003 года № 131–ФЗ «Об общих принципах организации местного самоуправления в Российской Федерации».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Выполнение мероприятий муниципальной программы предусматривает участие жителей в реализации благоустройства территорий. 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Трудовое участие жителей, заинтересованных лиц, организаций выражается в выполнении жителями следующих неоплачиваемых работ, не требующих специальной квалификации: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санитарная уборка территории, подлежащей благоустройству, в весенний период;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уборка мелкого летучего мусора после производства работ;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покраска существующих малых архитектурных форм (далее -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МАФы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>), бордюрного камня;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озеленение территории (посадка саженцев деревьев, кустарников, устройство клумб, цветников, газонов);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иные виды работ по усмотрению жителей.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Количество жителей, принимающих трудовое участие, а также его периодичность в выполнении работ по благоустройству (не менее 2-х раз за период проведения работ по благоустройству дворовой территории),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Инициативная группа по окончании работ, изложенных в перечне дополнительных видов работ, представляет ответственному исполнителю муниципальной программы отчет о трудовом участии жителей многоквартирного дома, территория которого благоустраивалась, с приложением реестра собственников с подписями, а также при желании жителей фотоматериала.</w:t>
      </w:r>
    </w:p>
    <w:p w:rsidR="009E6A23" w:rsidRDefault="009D6B97">
      <w:pPr>
        <w:pStyle w:val="a7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РФ от 09.02.2019 № 106         общественная комиссия городского округа для оценки и обсуждения проектов и предложений по благоустройству вправе: </w:t>
      </w:r>
    </w:p>
    <w:p w:rsidR="009E6A23" w:rsidRDefault="009D6B97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 xml:space="preserve"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</w:t>
      </w: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:rsidR="009E6A23" w:rsidRDefault="009D6B97">
      <w:pPr>
        <w:pStyle w:val="a7"/>
        <w:numPr>
          <w:ilvl w:val="0"/>
          <w:numId w:val="6"/>
        </w:numPr>
        <w:tabs>
          <w:tab w:val="left" w:pos="993"/>
          <w:tab w:val="left" w:pos="10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апреля года предоставления субсидии, за исключением: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 Российской Федерации, при которых срок заключения таких соглашений продлевается на срок проведения конкурсных процедур;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заключения таких соглашений в пределах экономии сре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2) обеспечения синхронизации выполнения работ в рамках муниципальной программы с реализуемыми в городском округе муниципальными программами, предусматривающими строительство (реконструкцию, ремонт) объектов недвижимого имущества, ремонт и (или) модернизацию инженерных сетей и иных объектов, расположенных на территории городского округа;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3) привлечения к выполнению работ по благоустройству дворовых территорий студенческих строительных отрядов;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4) привлечения добровольцев (волонтеров) к участию реализации мероприятий по благоустройству территорий;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5) условия об обязательном установлении минимального трехлетнего гарантийного срока на выполненные работы по благоустройству дворовых и общественных территорий;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дома;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7) размещения в государственно - информационной системе жилищно-коммунального хозяйства (далее — ГИС ЖКХ) информации о реализации федерального проекта «Формирование комфортной городской среды» на территории муниципального образования с учетом методических рекомендаций о размещении информации в ГИС ЖКХ, утверждаемых Министерством строительства и жилищно-коммунального хозяйства Российской Федерации.</w:t>
      </w: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Администрацией городского округа ежегодно проводится рейтинговое голосование по отбору общественных территорий, подлежащих благоустройству в рамках реализации муниципальной программы. </w:t>
      </w: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Соисполнитель муниципальной программы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УАиГ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выполняет разработку дизайн - проектов общественных территорий.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территории включаются в муниципальную программу на основании решения общественной комиссии и после предоставления в адрес администрации городского округа следующих документов: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решение, оформленное протоколом собственников по следующим вопросам: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определении видов работ, необходимых для благоустройства из минимального (</w:t>
      </w:r>
      <w:r>
        <w:rPr>
          <w:rFonts w:ascii="Times New Roman" w:hAnsi="Times New Roman"/>
          <w:color w:val="1C1C1C"/>
          <w:sz w:val="28"/>
          <w:szCs w:val="28"/>
        </w:rPr>
        <w:t xml:space="preserve">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площадок) </w:t>
      </w:r>
      <w:r>
        <w:rPr>
          <w:rFonts w:ascii="Times New Roman" w:hAnsi="Times New Roman"/>
          <w:sz w:val="28"/>
          <w:szCs w:val="28"/>
        </w:rPr>
        <w:t>и дополнительного перечня (</w:t>
      </w:r>
      <w:r>
        <w:rPr>
          <w:rFonts w:ascii="Times New Roman" w:hAnsi="Times New Roman"/>
          <w:color w:val="1C1C1C"/>
          <w:sz w:val="28"/>
          <w:szCs w:val="28"/>
        </w:rPr>
        <w:t>ремонт и установка ограждений, озеленение территорий, иные виды работ)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дворовой территории;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по благоустройству дворовых территорий в размере 20 % от стоимости выполнения работ на дополнительный перечень работ, утвержденных </w:t>
      </w:r>
      <w:r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09.02.2019                                  № 106;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формировании земельного участка, созданного в результате благоустройства и передаче его в состав общего имущества многоквартирного дома;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_DdeLink__473_3062930020"/>
      <w:r>
        <w:rPr>
          <w:rFonts w:ascii="Times New Roman" w:eastAsia="SimSun" w:hAnsi="Times New Roman"/>
          <w:sz w:val="28"/>
          <w:szCs w:val="28"/>
          <w:lang w:bidi="hi-IN"/>
        </w:rPr>
        <w:t xml:space="preserve">о </w:t>
      </w:r>
      <w:bookmarkEnd w:id="2"/>
      <w:r>
        <w:rPr>
          <w:rFonts w:ascii="Times New Roman" w:eastAsia="SimSun" w:hAnsi="Times New Roman"/>
          <w:sz w:val="28"/>
          <w:szCs w:val="28"/>
          <w:lang w:bidi="hi-IN"/>
        </w:rPr>
        <w:t>принятии имущества, созданного в результате благоустройства, в состав общего имущества многоквартирного дома.</w:t>
      </w:r>
    </w:p>
    <w:p w:rsidR="009E6A23" w:rsidRDefault="009D6B97">
      <w:pPr>
        <w:pStyle w:val="af0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о включении в муниципальную программу;</w:t>
      </w:r>
    </w:p>
    <w:p w:rsidR="009E6A23" w:rsidRDefault="009D6B97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eastAsia="Calibri" w:hAnsi="Times New Roman"/>
          <w:sz w:val="28"/>
          <w:szCs w:val="28"/>
        </w:rPr>
        <w:t>дизайн-проект и смета дворовой территории.</w:t>
      </w:r>
    </w:p>
    <w:p w:rsidR="009E6A23" w:rsidRDefault="009D6B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Одним из условий включения дворовой территории в действующую муниципальную программу являются выполненные работы по межеванию дворовой территории и постановки на кадастровый учет.</w:t>
      </w:r>
    </w:p>
    <w:p w:rsidR="009E6A23" w:rsidRDefault="009D6B97">
      <w:pPr>
        <w:pStyle w:val="a7"/>
        <w:spacing w:after="0" w:line="240" w:lineRule="auto"/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представлен в      таблице 4.</w:t>
      </w:r>
    </w:p>
    <w:p w:rsidR="009E6A23" w:rsidRDefault="009E6A2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A23" w:rsidRDefault="009D6B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№ </w:t>
            </w:r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>/п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Наименова-ние</w:t>
            </w:r>
            <w:proofErr w:type="spellEnd"/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конструк-ции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Технические характеристики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Эскиз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Ед-цы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изм.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Цена за </w:t>
            </w: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ед-цу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(руб.)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Песочница </w:t>
            </w: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машина</w:t>
            </w:r>
          </w:p>
          <w:p w:rsidR="009E6A23" w:rsidRDefault="009E6A23">
            <w:pPr>
              <w:keepNext/>
              <w:spacing w:after="300"/>
              <w:outlineLvl w:val="0"/>
              <w:rPr>
                <w:rFonts w:ascii="Times New Roman" w:eastAsiaTheme="majorEastAsia" w:hAnsi="Times New Roman" w:cstheme="majorBidi"/>
                <w:kern w:val="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2500х1500х1600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8415" distL="0" distR="9525" simplePos="0" relativeHeight="251659264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113030</wp:posOffset>
                  </wp:positionV>
                  <wp:extent cx="1209675" cy="1198245"/>
                  <wp:effectExtent l="0" t="0" r="9525" b="1905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17000,0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Карусель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1450х1450х700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3335" distL="0" distR="18415" simplePos="0" relativeHeight="251660288" behindDoc="0" locked="0" layoutInCell="1" allowOverlap="1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93980</wp:posOffset>
                  </wp:positionV>
                  <wp:extent cx="1685925" cy="1215390"/>
                  <wp:effectExtent l="0" t="0" r="9525" b="3810"/>
                  <wp:wrapSquare wrapText="largest"/>
                  <wp:docPr id="8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24500,0 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Детский игровой комплекс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3225х2070х2280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28775" cy="1678305"/>
                  <wp:effectExtent l="0" t="0" r="9525" b="17145"/>
                  <wp:wrapSquare wrapText="largest"/>
                  <wp:docPr id="9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59000,0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Качели+</w:t>
            </w: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шведская стенка +баскетбольный щит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2600х400х2000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9525" distL="0" distR="0" simplePos="0" relativeHeight="25166233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788160" cy="1717040"/>
                  <wp:effectExtent l="0" t="0" r="2540" b="16510"/>
                  <wp:wrapSquare wrapText="largest"/>
                  <wp:docPr id="1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1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19000,0</w:t>
            </w:r>
          </w:p>
        </w:tc>
      </w:tr>
    </w:tbl>
    <w:p w:rsidR="009E6A23" w:rsidRDefault="009E6A23"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Продолжение таблицы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7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Лазалка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джип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2000х15000х1010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12700" simplePos="0" relativeHeight="251668480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117475</wp:posOffset>
                  </wp:positionV>
                  <wp:extent cx="1673225" cy="1390650"/>
                  <wp:effectExtent l="0" t="0" r="3175" b="0"/>
                  <wp:wrapSquare wrapText="largest"/>
                  <wp:docPr id="2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25000,0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Скамейка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1180х250х1100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u w:val="single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u w:val="single"/>
                <w:lang w:eastAsia="ru-RU" w:bidi="ar-SA"/>
              </w:rPr>
              <w:drawing>
                <wp:anchor distT="0" distB="8890" distL="0" distR="13970" simplePos="0" relativeHeight="251663360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10795</wp:posOffset>
                  </wp:positionV>
                  <wp:extent cx="1286510" cy="1231265"/>
                  <wp:effectExtent l="0" t="0" r="8890" b="6985"/>
                  <wp:wrapSquare wrapText="largest"/>
                  <wp:docPr id="21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23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5500,0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Горка Домик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2300х2500х1900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1430" distL="0" distR="1270" simplePos="0" relativeHeight="25166438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94180" cy="1464310"/>
                  <wp:effectExtent l="0" t="0" r="1270" b="2540"/>
                  <wp:wrapSquare wrapText="largest"/>
                  <wp:docPr id="18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4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37000,0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8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Диван </w:t>
            </w:r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-к</w:t>
            </w:r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ачели </w:t>
            </w: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1930х1500х2000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000250" cy="1684655"/>
                  <wp:effectExtent l="0" t="0" r="0" b="10795"/>
                  <wp:wrapSquare wrapText="largest"/>
                  <wp:docPr id="19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22000,0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9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Качели двойные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3200х1400х1900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8415" distL="0" distR="0" simplePos="0" relativeHeight="251666432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27305</wp:posOffset>
                  </wp:positionV>
                  <wp:extent cx="1336675" cy="1401445"/>
                  <wp:effectExtent l="0" t="0" r="15875" b="8255"/>
                  <wp:wrapSquare wrapText="largest"/>
                  <wp:docPr id="15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19000,0</w:t>
            </w:r>
          </w:p>
        </w:tc>
      </w:tr>
    </w:tbl>
    <w:p w:rsidR="009E6A23" w:rsidRDefault="009E6A23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Окончание таблицы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10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Урна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</w:pPr>
            <w:bookmarkStart w:id="3" w:name="__DdeLink__3909_540341405"/>
            <w:r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  <w:t>570х380х350</w:t>
            </w:r>
            <w:bookmarkEnd w:id="3"/>
            <w:r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5080" distL="0" distR="2540" simplePos="0" relativeHeight="251667456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31750</wp:posOffset>
                  </wp:positionV>
                  <wp:extent cx="1045210" cy="1238250"/>
                  <wp:effectExtent l="0" t="0" r="2540" b="0"/>
                  <wp:wrapSquare wrapText="largest"/>
                  <wp:docPr id="16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1600,0</w:t>
            </w:r>
          </w:p>
        </w:tc>
      </w:tr>
    </w:tbl>
    <w:p w:rsidR="009E6A23" w:rsidRDefault="009E6A23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Механизм реализации включает: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корректировку муниципальной программы;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мониторинг выполнения показателей мероприятий муниципальной программы и сбор оперативной отчетной информации;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подготовку и представление в установленном порядке отчетов о ходе реализации муниципальной программы.</w:t>
      </w:r>
    </w:p>
    <w:p w:rsidR="009E6A23" w:rsidRDefault="009D6B97">
      <w:pPr>
        <w:pStyle w:val="af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Корректировка муниципальной программы включает внесение изменений и дополнений в перечень программных мероприятий, финансируемых с использованием средств бюджета городского округа, регионального и федерального бюджетов, внебюджетных источников, а также с применением механизмов инициативного бюджетирования.</w:t>
      </w:r>
    </w:p>
    <w:p w:rsidR="009E6A23" w:rsidRDefault="009D6B97">
      <w:pPr>
        <w:pStyle w:val="af"/>
        <w:tabs>
          <w:tab w:val="left" w:pos="994"/>
          <w:tab w:val="left" w:pos="100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Взаимодействие и отчетность осуществляются в соответствии с действующим порядком принятия решений о разработке муниципальных программ городского округа, их формирования и реализации, утвержденных постановлением администрации городского округа.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Управление и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реализацией муниципальной программы осуществляется ответственным исполнителем – УГХ.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ежеквартально (за исключением                           IV квартала), до 16 числа месяца, следующего за отчетным кварталом, направляет мониторинг реализации муниципальной программы 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экономического развития  администрации городского округа.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муниципальной программы совместно с соисполнителями до 1 марта года, следующего за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>, готовит годовой отчет о ходе реализации муниципальной программы.</w:t>
      </w:r>
    </w:p>
    <w:p w:rsidR="009E6A23" w:rsidRDefault="009D6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осуществляют соисполнители муниципальной программы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 КГО «ГСЗ»,                      МКУ КГО «Управление благоустройства»: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заключение договора (контракта) на выполнение работ, необходимых для реализации мероприятий муниципальной программы;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оперативная проверка качества исполнения муниципальных контрактов;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приемка выполненных работ.                                                                                                  </w:t>
      </w:r>
    </w:p>
    <w:p w:rsidR="009E6A23" w:rsidRDefault="009D6B97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lastRenderedPageBreak/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9E6A23" w:rsidRDefault="009E6A23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Раздел V. Ожидаемые результаты реализации муниципальной программы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В результате реализации муниципальной программы на территории городского округа планируется благоустроить 3 дворовых территорий, 8</w:t>
      </w: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территорий общего пользования. </w:t>
      </w:r>
      <w:r>
        <w:rPr>
          <w:rFonts w:ascii="Times New Roman" w:hAnsi="Times New Roman" w:cs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 представлены в таблице 5.</w:t>
      </w:r>
    </w:p>
    <w:p w:rsidR="009E6A23" w:rsidRDefault="009D6B97"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W w:w="10008" w:type="dxa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746"/>
        <w:gridCol w:w="4253"/>
        <w:gridCol w:w="850"/>
        <w:gridCol w:w="101"/>
        <w:gridCol w:w="992"/>
        <w:gridCol w:w="851"/>
        <w:gridCol w:w="708"/>
        <w:gridCol w:w="709"/>
        <w:gridCol w:w="798"/>
      </w:tblGrid>
      <w:tr w:rsidR="009E6A23">
        <w:trPr>
          <w:trHeight w:val="393"/>
        </w:trPr>
        <w:tc>
          <w:tcPr>
            <w:tcW w:w="7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целевых индикативных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изме</w:t>
            </w:r>
            <w:proofErr w:type="spellEnd"/>
            <w:r>
              <w:rPr>
                <w:rFonts w:ascii="Times New Roman" w:hAnsi="Times New Roman" w:cs="Times New Roman"/>
              </w:rPr>
              <w:t>-рения</w:t>
            </w:r>
            <w:proofErr w:type="gramEnd"/>
          </w:p>
        </w:tc>
        <w:tc>
          <w:tcPr>
            <w:tcW w:w="415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9E6A23">
        <w:trPr>
          <w:trHeight w:val="433"/>
        </w:trPr>
        <w:tc>
          <w:tcPr>
            <w:tcW w:w="7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tabs>
                <w:tab w:val="left" w:pos="7230"/>
              </w:tabs>
              <w:ind w:firstLine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E6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2023-2025 гг.</w:t>
            </w:r>
          </w:p>
        </w:tc>
      </w:tr>
      <w:tr w:rsidR="009E6A23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6A23">
        <w:trPr>
          <w:trHeight w:val="433"/>
        </w:trPr>
        <w:tc>
          <w:tcPr>
            <w:tcW w:w="1000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9E6A23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26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 w:rsidR="009E6A23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Количество благоустроенных дворовых территорий</w:t>
            </w:r>
          </w:p>
        </w:tc>
        <w:tc>
          <w:tcPr>
            <w:tcW w:w="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9E6A23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26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9E6A23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Количество благоустроенных территорий общего </w:t>
            </w:r>
            <w:r>
              <w:rPr>
                <w:rFonts w:ascii="Times New Roman" w:hAnsi="Times New Roman" w:cs="Times New Roman"/>
              </w:rPr>
              <w:t>пользования</w:t>
            </w:r>
          </w:p>
        </w:tc>
        <w:tc>
          <w:tcPr>
            <w:tcW w:w="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9E6A23" w:rsidRDefault="009E6A23">
      <w:pPr>
        <w:jc w:val="both"/>
        <w:rPr>
          <w:rFonts w:ascii="Times New Roman" w:hAnsi="Times New Roman"/>
          <w:sz w:val="28"/>
          <w:szCs w:val="28"/>
        </w:rPr>
      </w:pPr>
    </w:p>
    <w:p w:rsidR="009E6A23" w:rsidRDefault="009D6B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9E6A23" w:rsidRDefault="009D6B97">
      <w:pPr>
        <w:ind w:hanging="142"/>
        <w:jc w:val="both"/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И.В. Фролов                                   </w:t>
      </w:r>
    </w:p>
    <w:sectPr w:rsidR="009E6A23">
      <w:headerReference w:type="default" r:id="rId23"/>
      <w:headerReference w:type="first" r:id="rId24"/>
      <w:pgSz w:w="11906" w:h="16838"/>
      <w:pgMar w:top="1134" w:right="707" w:bottom="709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11" w:rsidRDefault="00E60C11">
      <w:r>
        <w:separator/>
      </w:r>
    </w:p>
  </w:endnote>
  <w:endnote w:type="continuationSeparator" w:id="0">
    <w:p w:rsidR="00E60C11" w:rsidRDefault="00E6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Liberation Mono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355857">
    <w:pPr>
      <w:pStyle w:val="a9"/>
    </w:pPr>
  </w:p>
  <w:p w:rsidR="00355857" w:rsidRDefault="003558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11" w:rsidRDefault="00E60C11">
      <w:r>
        <w:separator/>
      </w:r>
    </w:p>
  </w:footnote>
  <w:footnote w:type="continuationSeparator" w:id="0">
    <w:p w:rsidR="00E60C11" w:rsidRDefault="00E60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355857">
    <w:pPr>
      <w:pStyle w:val="a6"/>
    </w:pPr>
  </w:p>
  <w:p w:rsidR="00355857" w:rsidRDefault="00355857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142CDF">
    <w:pPr>
      <w:pStyle w:val="a6"/>
      <w:jc w:val="center"/>
    </w:pPr>
    <w: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142CDF">
    <w:pPr>
      <w:pStyle w:val="a6"/>
      <w:jc w:val="center"/>
    </w:pPr>
    <w:r>
      <w:t>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7A3D39">
    <w:pPr>
      <w:pStyle w:val="a6"/>
      <w:jc w:val="center"/>
    </w:pPr>
    <w:r>
      <w:t>13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857" w:rsidRDefault="00142CDF">
    <w:pPr>
      <w:pStyle w:val="a6"/>
      <w:jc w:val="center"/>
    </w:pPr>
    <w:r>
      <w:t>7</w:t>
    </w:r>
  </w:p>
  <w:p w:rsidR="00355857" w:rsidRDefault="003558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B88"/>
    <w:multiLevelType w:val="multilevel"/>
    <w:tmpl w:val="17084B88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1">
    <w:nsid w:val="1E083F45"/>
    <w:multiLevelType w:val="multilevel"/>
    <w:tmpl w:val="1E083F45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2F004D5"/>
    <w:multiLevelType w:val="multilevel"/>
    <w:tmpl w:val="22F004D5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B65B2A"/>
    <w:multiLevelType w:val="multilevel"/>
    <w:tmpl w:val="29B65B2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3515DD"/>
    <w:multiLevelType w:val="multilevel"/>
    <w:tmpl w:val="3F3515D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592087"/>
    <w:multiLevelType w:val="multilevel"/>
    <w:tmpl w:val="54592087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6">
    <w:nsid w:val="570A55B0"/>
    <w:multiLevelType w:val="multilevel"/>
    <w:tmpl w:val="570A55B0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7F665A5"/>
    <w:multiLevelType w:val="multilevel"/>
    <w:tmpl w:val="77F665A5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B472507"/>
    <w:multiLevelType w:val="multilevel"/>
    <w:tmpl w:val="7B472507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9C"/>
    <w:rsid w:val="00030E5B"/>
    <w:rsid w:val="00032B69"/>
    <w:rsid w:val="0004581C"/>
    <w:rsid w:val="00053AA3"/>
    <w:rsid w:val="0005706A"/>
    <w:rsid w:val="00081BF6"/>
    <w:rsid w:val="00096976"/>
    <w:rsid w:val="000A21D2"/>
    <w:rsid w:val="000E60B8"/>
    <w:rsid w:val="0010061B"/>
    <w:rsid w:val="00123CAB"/>
    <w:rsid w:val="00137328"/>
    <w:rsid w:val="00142CDF"/>
    <w:rsid w:val="00146D18"/>
    <w:rsid w:val="00150883"/>
    <w:rsid w:val="00150F6C"/>
    <w:rsid w:val="00167391"/>
    <w:rsid w:val="00170442"/>
    <w:rsid w:val="00173A66"/>
    <w:rsid w:val="0018428B"/>
    <w:rsid w:val="00190E54"/>
    <w:rsid w:val="001922F4"/>
    <w:rsid w:val="00193C2C"/>
    <w:rsid w:val="00195CCC"/>
    <w:rsid w:val="001A1369"/>
    <w:rsid w:val="001A4E06"/>
    <w:rsid w:val="001A7F8F"/>
    <w:rsid w:val="001C4971"/>
    <w:rsid w:val="001C5D2A"/>
    <w:rsid w:val="001D13C1"/>
    <w:rsid w:val="002038B4"/>
    <w:rsid w:val="00221C6D"/>
    <w:rsid w:val="00237C02"/>
    <w:rsid w:val="00246358"/>
    <w:rsid w:val="00280B74"/>
    <w:rsid w:val="0028213E"/>
    <w:rsid w:val="002B0809"/>
    <w:rsid w:val="002C46D2"/>
    <w:rsid w:val="002D32F8"/>
    <w:rsid w:val="0031761D"/>
    <w:rsid w:val="003233B7"/>
    <w:rsid w:val="0033325A"/>
    <w:rsid w:val="00355857"/>
    <w:rsid w:val="00377B27"/>
    <w:rsid w:val="003A148C"/>
    <w:rsid w:val="003A4DF6"/>
    <w:rsid w:val="003D7543"/>
    <w:rsid w:val="003E3D03"/>
    <w:rsid w:val="00407441"/>
    <w:rsid w:val="004164B5"/>
    <w:rsid w:val="00417921"/>
    <w:rsid w:val="00420849"/>
    <w:rsid w:val="004279D0"/>
    <w:rsid w:val="00433207"/>
    <w:rsid w:val="004422AD"/>
    <w:rsid w:val="00442AF5"/>
    <w:rsid w:val="00461AA1"/>
    <w:rsid w:val="004C1B64"/>
    <w:rsid w:val="004C3AB6"/>
    <w:rsid w:val="004F2FE8"/>
    <w:rsid w:val="00527E80"/>
    <w:rsid w:val="00540C5F"/>
    <w:rsid w:val="00556FAC"/>
    <w:rsid w:val="005677A6"/>
    <w:rsid w:val="00583FD2"/>
    <w:rsid w:val="005B54CC"/>
    <w:rsid w:val="005C42E1"/>
    <w:rsid w:val="005C50B3"/>
    <w:rsid w:val="005C7DD2"/>
    <w:rsid w:val="005E00B7"/>
    <w:rsid w:val="005E5995"/>
    <w:rsid w:val="005E61E7"/>
    <w:rsid w:val="0060040A"/>
    <w:rsid w:val="00616469"/>
    <w:rsid w:val="006342BE"/>
    <w:rsid w:val="00650811"/>
    <w:rsid w:val="006B79AA"/>
    <w:rsid w:val="006F3EC3"/>
    <w:rsid w:val="00711C67"/>
    <w:rsid w:val="00715F23"/>
    <w:rsid w:val="00722F32"/>
    <w:rsid w:val="0072389F"/>
    <w:rsid w:val="00741FC9"/>
    <w:rsid w:val="0077440F"/>
    <w:rsid w:val="00783AA2"/>
    <w:rsid w:val="0079085A"/>
    <w:rsid w:val="007A3D39"/>
    <w:rsid w:val="007B5CDB"/>
    <w:rsid w:val="007D09CB"/>
    <w:rsid w:val="007F3E74"/>
    <w:rsid w:val="007F7BB4"/>
    <w:rsid w:val="00802989"/>
    <w:rsid w:val="00805728"/>
    <w:rsid w:val="00807148"/>
    <w:rsid w:val="00817B07"/>
    <w:rsid w:val="00827793"/>
    <w:rsid w:val="008338C2"/>
    <w:rsid w:val="00834B9B"/>
    <w:rsid w:val="00840875"/>
    <w:rsid w:val="008D1BBF"/>
    <w:rsid w:val="0096313A"/>
    <w:rsid w:val="0096350A"/>
    <w:rsid w:val="00966D08"/>
    <w:rsid w:val="009D2391"/>
    <w:rsid w:val="009D6B97"/>
    <w:rsid w:val="009E600E"/>
    <w:rsid w:val="009E6A23"/>
    <w:rsid w:val="009E6E5F"/>
    <w:rsid w:val="009F4643"/>
    <w:rsid w:val="009F5E5C"/>
    <w:rsid w:val="00A5048A"/>
    <w:rsid w:val="00A55F7A"/>
    <w:rsid w:val="00A77A71"/>
    <w:rsid w:val="00A966A4"/>
    <w:rsid w:val="00AA2C93"/>
    <w:rsid w:val="00AC4C86"/>
    <w:rsid w:val="00AD65DA"/>
    <w:rsid w:val="00B0750A"/>
    <w:rsid w:val="00B41E42"/>
    <w:rsid w:val="00B47C78"/>
    <w:rsid w:val="00B6743F"/>
    <w:rsid w:val="00B749D0"/>
    <w:rsid w:val="00B91F40"/>
    <w:rsid w:val="00B963E3"/>
    <w:rsid w:val="00BB1132"/>
    <w:rsid w:val="00BC2A57"/>
    <w:rsid w:val="00C1711B"/>
    <w:rsid w:val="00C24A7B"/>
    <w:rsid w:val="00C300D5"/>
    <w:rsid w:val="00C348F1"/>
    <w:rsid w:val="00C86229"/>
    <w:rsid w:val="00C87226"/>
    <w:rsid w:val="00C936C4"/>
    <w:rsid w:val="00C957DB"/>
    <w:rsid w:val="00CA1EB4"/>
    <w:rsid w:val="00CE31D2"/>
    <w:rsid w:val="00CF3874"/>
    <w:rsid w:val="00CF6503"/>
    <w:rsid w:val="00D00E51"/>
    <w:rsid w:val="00D02DB3"/>
    <w:rsid w:val="00D050C3"/>
    <w:rsid w:val="00D17E99"/>
    <w:rsid w:val="00D20C73"/>
    <w:rsid w:val="00D33722"/>
    <w:rsid w:val="00D370B5"/>
    <w:rsid w:val="00D472E5"/>
    <w:rsid w:val="00D50661"/>
    <w:rsid w:val="00D675AF"/>
    <w:rsid w:val="00D80426"/>
    <w:rsid w:val="00D81398"/>
    <w:rsid w:val="00D87723"/>
    <w:rsid w:val="00D97359"/>
    <w:rsid w:val="00DC7066"/>
    <w:rsid w:val="00DE34BF"/>
    <w:rsid w:val="00E00862"/>
    <w:rsid w:val="00E130E9"/>
    <w:rsid w:val="00E455C8"/>
    <w:rsid w:val="00E53A63"/>
    <w:rsid w:val="00E578E8"/>
    <w:rsid w:val="00E60C11"/>
    <w:rsid w:val="00E64C04"/>
    <w:rsid w:val="00E71212"/>
    <w:rsid w:val="00E90290"/>
    <w:rsid w:val="00EA2B94"/>
    <w:rsid w:val="00F055DD"/>
    <w:rsid w:val="00F06875"/>
    <w:rsid w:val="00F41296"/>
    <w:rsid w:val="00F45390"/>
    <w:rsid w:val="00F4790C"/>
    <w:rsid w:val="00F54841"/>
    <w:rsid w:val="00F6409C"/>
    <w:rsid w:val="00F650EE"/>
    <w:rsid w:val="00F72D6E"/>
    <w:rsid w:val="00FB07BA"/>
    <w:rsid w:val="00FE543D"/>
    <w:rsid w:val="00FF31C0"/>
    <w:rsid w:val="01FD780E"/>
    <w:rsid w:val="03082BD6"/>
    <w:rsid w:val="03E327B0"/>
    <w:rsid w:val="05D11BC3"/>
    <w:rsid w:val="0BF04E18"/>
    <w:rsid w:val="0F206109"/>
    <w:rsid w:val="1079304E"/>
    <w:rsid w:val="10F77955"/>
    <w:rsid w:val="119C77FF"/>
    <w:rsid w:val="12D0116C"/>
    <w:rsid w:val="19B04283"/>
    <w:rsid w:val="19C62185"/>
    <w:rsid w:val="1A43276F"/>
    <w:rsid w:val="1CCF0EE7"/>
    <w:rsid w:val="1CE23A29"/>
    <w:rsid w:val="1DA2595E"/>
    <w:rsid w:val="280B23A0"/>
    <w:rsid w:val="28110BA6"/>
    <w:rsid w:val="293331BA"/>
    <w:rsid w:val="294F0F67"/>
    <w:rsid w:val="2AC4678B"/>
    <w:rsid w:val="30C05838"/>
    <w:rsid w:val="319E0DF1"/>
    <w:rsid w:val="31DC0B81"/>
    <w:rsid w:val="32387394"/>
    <w:rsid w:val="33994C4A"/>
    <w:rsid w:val="3753102C"/>
    <w:rsid w:val="3E8E35FE"/>
    <w:rsid w:val="40552BA9"/>
    <w:rsid w:val="40FD4171"/>
    <w:rsid w:val="41C56763"/>
    <w:rsid w:val="426B78B6"/>
    <w:rsid w:val="42D2675F"/>
    <w:rsid w:val="44677604"/>
    <w:rsid w:val="4BDD02FB"/>
    <w:rsid w:val="4C805F9A"/>
    <w:rsid w:val="4E425732"/>
    <w:rsid w:val="52083587"/>
    <w:rsid w:val="5727556A"/>
    <w:rsid w:val="579F61AC"/>
    <w:rsid w:val="593401C2"/>
    <w:rsid w:val="5F6505B6"/>
    <w:rsid w:val="5FAB21F4"/>
    <w:rsid w:val="6037587E"/>
    <w:rsid w:val="6C3435EC"/>
    <w:rsid w:val="6EB8529A"/>
    <w:rsid w:val="6F4009B7"/>
    <w:rsid w:val="784D4125"/>
    <w:rsid w:val="7A613D07"/>
    <w:rsid w:val="7AE845BF"/>
    <w:rsid w:val="7D9F2AC9"/>
    <w:rsid w:val="7F5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erif" w:hAnsi="Liberation Serif" w:cs="Arial"/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6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88" w:lineRule="auto"/>
    </w:pPr>
  </w:style>
  <w:style w:type="paragraph" w:styleId="a8">
    <w:name w:val="index heading"/>
    <w:basedOn w:val="a"/>
    <w:next w:val="10"/>
    <w:qFormat/>
    <w:pPr>
      <w:suppressLineNumbers/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a">
    <w:name w:val="List"/>
    <w:basedOn w:val="a7"/>
    <w:qFormat/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ab">
    <w:name w:val="Текст выноски Знак"/>
    <w:basedOn w:val="a0"/>
    <w:uiPriority w:val="99"/>
    <w:semiHidden/>
    <w:qFormat/>
    <w:rPr>
      <w:rFonts w:ascii="Tahoma" w:hAnsi="Tahoma" w:cs="Mangal"/>
      <w:sz w:val="16"/>
      <w:szCs w:val="14"/>
    </w:rPr>
  </w:style>
  <w:style w:type="character" w:customStyle="1" w:styleId="ac">
    <w:name w:val="Нижний колонтитул Знак"/>
    <w:basedOn w:val="a0"/>
    <w:uiPriority w:val="99"/>
    <w:qFormat/>
    <w:rPr>
      <w:rFonts w:cs="Mangal"/>
      <w:szCs w:val="21"/>
    </w:r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Symbol"/>
      <w:sz w:val="28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Symbol"/>
      <w:sz w:val="28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Symbol"/>
      <w:sz w:val="28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ascii="Times New Roman" w:hAnsi="Times New Roman" w:cs="Symbol"/>
      <w:sz w:val="28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Times New Roman"/>
      <w:sz w:val="28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Symbol"/>
      <w:sz w:val="28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Times New Roman" w:hAnsi="Times New Roman" w:cs="Symbol"/>
      <w:sz w:val="28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Times New Roman"/>
      <w:sz w:val="28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sz w:val="28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Times New Roman" w:hAnsi="Times New Roman" w:cs="Symbol"/>
      <w:sz w:val="2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Times New Roman"/>
      <w:sz w:val="2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Symbol"/>
      <w:sz w:val="28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ascii="Times New Roman" w:hAnsi="Times New Roman" w:cs="Symbol"/>
      <w:sz w:val="28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sz w:val="28"/>
      <w:szCs w:val="28"/>
    </w:rPr>
  </w:style>
  <w:style w:type="character" w:customStyle="1" w:styleId="ListLabel288">
    <w:name w:val="ListLabel 288"/>
    <w:qFormat/>
    <w:rPr>
      <w:sz w:val="28"/>
      <w:szCs w:val="28"/>
    </w:rPr>
  </w:style>
  <w:style w:type="character" w:customStyle="1" w:styleId="ListLabel289">
    <w:name w:val="ListLabel 289"/>
    <w:qFormat/>
    <w:rPr>
      <w:sz w:val="28"/>
      <w:szCs w:val="28"/>
    </w:rPr>
  </w:style>
  <w:style w:type="character" w:customStyle="1" w:styleId="ListLabel290">
    <w:name w:val="ListLabel 290"/>
    <w:qFormat/>
    <w:rPr>
      <w:sz w:val="28"/>
      <w:szCs w:val="28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Symbol"/>
      <w:sz w:val="28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ascii="Times New Roman" w:hAnsi="Times New Roman" w:cs="Symbol"/>
      <w:sz w:val="28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Times New Roman" w:hAnsi="Times New Roman" w:cs="Symbol"/>
      <w:sz w:val="28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sz w:val="28"/>
      <w:szCs w:val="28"/>
    </w:rPr>
  </w:style>
  <w:style w:type="character" w:customStyle="1" w:styleId="ListLabel330">
    <w:name w:val="ListLabel 330"/>
    <w:qFormat/>
    <w:rPr>
      <w:rFonts w:ascii="Times New Roman" w:hAnsi="Times New Roman" w:cs="Symbol"/>
    </w:rPr>
  </w:style>
  <w:style w:type="character" w:customStyle="1" w:styleId="ListLabel331">
    <w:name w:val="ListLabel 331"/>
    <w:qFormat/>
    <w:rPr>
      <w:rFonts w:ascii="Times New Roman" w:hAnsi="Times New Roman"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ascii="Times New Roman" w:hAnsi="Times New Roman" w:cs="Symbol"/>
      <w:sz w:val="28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ascii="Times New Roman" w:hAnsi="Times New Roman" w:cs="Symbol"/>
      <w:sz w:val="28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ascii="Times New Roman" w:hAnsi="Times New Roman" w:cs="Symbol"/>
      <w:sz w:val="28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  <w:sz w:val="28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ascii="Times New Roman" w:hAnsi="Times New Roman" w:cs="Symbol"/>
      <w:sz w:val="28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ascii="Times New Roman" w:hAnsi="Times New Roman" w:cs="Symbol"/>
      <w:sz w:val="28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sz w:val="28"/>
      <w:szCs w:val="28"/>
    </w:rPr>
  </w:style>
  <w:style w:type="character" w:customStyle="1" w:styleId="ListLabel394">
    <w:name w:val="ListLabel 394"/>
    <w:qFormat/>
    <w:rPr>
      <w:rFonts w:ascii="Times New Roman" w:hAnsi="Times New Roman" w:cs="Symbol"/>
    </w:rPr>
  </w:style>
  <w:style w:type="character" w:customStyle="1" w:styleId="ListLabel395">
    <w:name w:val="ListLabel 395"/>
    <w:qFormat/>
    <w:rPr>
      <w:rFonts w:ascii="Times New Roman" w:hAnsi="Times New Roman" w:cs="Symbol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ascii="Times New Roman" w:hAnsi="Times New Roman" w:cs="Symbol"/>
      <w:sz w:val="28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ascii="Times New Roman" w:hAnsi="Times New Roman" w:cs="Symbol"/>
      <w:sz w:val="28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ascii="Times New Roman" w:hAnsi="Times New Roman" w:cs="Symbol"/>
      <w:sz w:val="28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  <w:sz w:val="28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ascii="Times New Roman" w:hAnsi="Times New Roman" w:cs="Symbol"/>
      <w:sz w:val="28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ascii="Times New Roman" w:hAnsi="Times New Roman" w:cs="Symbol"/>
      <w:sz w:val="28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sz w:val="28"/>
      <w:szCs w:val="28"/>
    </w:rPr>
  </w:style>
  <w:style w:type="character" w:customStyle="1" w:styleId="ListLabel458">
    <w:name w:val="ListLabel 458"/>
    <w:qFormat/>
    <w:rPr>
      <w:rFonts w:ascii="Times New Roman" w:hAnsi="Times New Roman" w:cs="Symbol"/>
    </w:rPr>
  </w:style>
  <w:style w:type="character" w:customStyle="1" w:styleId="ListLabel459">
    <w:name w:val="ListLabel 459"/>
    <w:qFormat/>
    <w:rPr>
      <w:rFonts w:ascii="Times New Roman" w:hAnsi="Times New Roman" w:cs="Symbol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ascii="Times New Roman" w:hAnsi="Times New Roman" w:cs="Symbol"/>
      <w:sz w:val="28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ascii="Times New Roman" w:hAnsi="Times New Roman" w:cs="Symbol"/>
      <w:sz w:val="28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Times New Roman" w:hAnsi="Times New Roman" w:cs="Symbol"/>
      <w:sz w:val="28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List Paragraph"/>
    <w:basedOn w:val="a"/>
    <w:qFormat/>
    <w:pPr>
      <w:spacing w:after="200"/>
      <w:ind w:left="720"/>
      <w:contextualSpacing/>
    </w:pPr>
  </w:style>
  <w:style w:type="paragraph" w:customStyle="1" w:styleId="ConsPlusCell">
    <w:name w:val="ConsPlusCell"/>
    <w:qFormat/>
    <w:pPr>
      <w:widowControl w:val="0"/>
    </w:pPr>
    <w:rPr>
      <w:rFonts w:ascii="Liberation Serif" w:hAnsi="Liberation Serif" w:cs="Calibri"/>
      <w:color w:val="00000A"/>
      <w:kern w:val="2"/>
      <w:sz w:val="24"/>
      <w:szCs w:val="24"/>
      <w:lang w:eastAsia="zh-CN" w:bidi="hi-IN"/>
    </w:rPr>
  </w:style>
  <w:style w:type="paragraph" w:styleId="af0">
    <w:name w:val="No Spacing"/>
    <w:qFormat/>
    <w:rPr>
      <w:rFonts w:ascii="Calibri" w:eastAsia="Calibri" w:hAnsi="Calibri"/>
      <w:color w:val="00000A"/>
      <w:kern w:val="2"/>
      <w:sz w:val="22"/>
      <w:szCs w:val="22"/>
      <w:lang w:eastAsia="zh-CN"/>
    </w:rPr>
  </w:style>
  <w:style w:type="paragraph" w:customStyle="1" w:styleId="ListParagraph1">
    <w:name w:val="List Paragraph1"/>
    <w:basedOn w:val="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color w:val="auto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erif" w:hAnsi="Liberation Serif" w:cs="Arial"/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6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88" w:lineRule="auto"/>
    </w:pPr>
  </w:style>
  <w:style w:type="paragraph" w:styleId="a8">
    <w:name w:val="index heading"/>
    <w:basedOn w:val="a"/>
    <w:next w:val="10"/>
    <w:qFormat/>
    <w:pPr>
      <w:suppressLineNumbers/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a">
    <w:name w:val="List"/>
    <w:basedOn w:val="a7"/>
    <w:qFormat/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ab">
    <w:name w:val="Текст выноски Знак"/>
    <w:basedOn w:val="a0"/>
    <w:uiPriority w:val="99"/>
    <w:semiHidden/>
    <w:qFormat/>
    <w:rPr>
      <w:rFonts w:ascii="Tahoma" w:hAnsi="Tahoma" w:cs="Mangal"/>
      <w:sz w:val="16"/>
      <w:szCs w:val="14"/>
    </w:rPr>
  </w:style>
  <w:style w:type="character" w:customStyle="1" w:styleId="ac">
    <w:name w:val="Нижний колонтитул Знак"/>
    <w:basedOn w:val="a0"/>
    <w:uiPriority w:val="99"/>
    <w:qFormat/>
    <w:rPr>
      <w:rFonts w:cs="Mangal"/>
      <w:szCs w:val="21"/>
    </w:r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Symbol"/>
      <w:sz w:val="28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Symbol"/>
      <w:sz w:val="28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Symbol"/>
      <w:sz w:val="28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ascii="Times New Roman" w:hAnsi="Times New Roman" w:cs="Symbol"/>
      <w:sz w:val="28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Times New Roman"/>
      <w:sz w:val="28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Symbol"/>
      <w:sz w:val="28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Times New Roman" w:hAnsi="Times New Roman" w:cs="Symbol"/>
      <w:sz w:val="28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Times New Roman"/>
      <w:sz w:val="28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sz w:val="28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Times New Roman" w:hAnsi="Times New Roman" w:cs="Symbol"/>
      <w:sz w:val="2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Times New Roman"/>
      <w:sz w:val="2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Symbol"/>
      <w:sz w:val="28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ascii="Times New Roman" w:hAnsi="Times New Roman" w:cs="Symbol"/>
      <w:sz w:val="28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sz w:val="28"/>
      <w:szCs w:val="28"/>
    </w:rPr>
  </w:style>
  <w:style w:type="character" w:customStyle="1" w:styleId="ListLabel288">
    <w:name w:val="ListLabel 288"/>
    <w:qFormat/>
    <w:rPr>
      <w:sz w:val="28"/>
      <w:szCs w:val="28"/>
    </w:rPr>
  </w:style>
  <w:style w:type="character" w:customStyle="1" w:styleId="ListLabel289">
    <w:name w:val="ListLabel 289"/>
    <w:qFormat/>
    <w:rPr>
      <w:sz w:val="28"/>
      <w:szCs w:val="28"/>
    </w:rPr>
  </w:style>
  <w:style w:type="character" w:customStyle="1" w:styleId="ListLabel290">
    <w:name w:val="ListLabel 290"/>
    <w:qFormat/>
    <w:rPr>
      <w:sz w:val="28"/>
      <w:szCs w:val="28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Symbol"/>
      <w:sz w:val="28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ascii="Times New Roman" w:hAnsi="Times New Roman" w:cs="Symbol"/>
      <w:sz w:val="28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Times New Roman" w:hAnsi="Times New Roman" w:cs="Symbol"/>
      <w:sz w:val="28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sz w:val="28"/>
      <w:szCs w:val="28"/>
    </w:rPr>
  </w:style>
  <w:style w:type="character" w:customStyle="1" w:styleId="ListLabel330">
    <w:name w:val="ListLabel 330"/>
    <w:qFormat/>
    <w:rPr>
      <w:rFonts w:ascii="Times New Roman" w:hAnsi="Times New Roman" w:cs="Symbol"/>
    </w:rPr>
  </w:style>
  <w:style w:type="character" w:customStyle="1" w:styleId="ListLabel331">
    <w:name w:val="ListLabel 331"/>
    <w:qFormat/>
    <w:rPr>
      <w:rFonts w:ascii="Times New Roman" w:hAnsi="Times New Roman"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ascii="Times New Roman" w:hAnsi="Times New Roman" w:cs="Symbol"/>
      <w:sz w:val="28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ascii="Times New Roman" w:hAnsi="Times New Roman" w:cs="Symbol"/>
      <w:sz w:val="28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ascii="Times New Roman" w:hAnsi="Times New Roman" w:cs="Symbol"/>
      <w:sz w:val="28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  <w:sz w:val="28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ascii="Times New Roman" w:hAnsi="Times New Roman" w:cs="Symbol"/>
      <w:sz w:val="28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ascii="Times New Roman" w:hAnsi="Times New Roman" w:cs="Symbol"/>
      <w:sz w:val="28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sz w:val="28"/>
      <w:szCs w:val="28"/>
    </w:rPr>
  </w:style>
  <w:style w:type="character" w:customStyle="1" w:styleId="ListLabel394">
    <w:name w:val="ListLabel 394"/>
    <w:qFormat/>
    <w:rPr>
      <w:rFonts w:ascii="Times New Roman" w:hAnsi="Times New Roman" w:cs="Symbol"/>
    </w:rPr>
  </w:style>
  <w:style w:type="character" w:customStyle="1" w:styleId="ListLabel395">
    <w:name w:val="ListLabel 395"/>
    <w:qFormat/>
    <w:rPr>
      <w:rFonts w:ascii="Times New Roman" w:hAnsi="Times New Roman" w:cs="Symbol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ascii="Times New Roman" w:hAnsi="Times New Roman" w:cs="Symbol"/>
      <w:sz w:val="28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ascii="Times New Roman" w:hAnsi="Times New Roman" w:cs="Symbol"/>
      <w:sz w:val="28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ascii="Times New Roman" w:hAnsi="Times New Roman" w:cs="Symbol"/>
      <w:sz w:val="28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  <w:sz w:val="28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ascii="Times New Roman" w:hAnsi="Times New Roman" w:cs="Symbol"/>
      <w:sz w:val="28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ascii="Times New Roman" w:hAnsi="Times New Roman" w:cs="Symbol"/>
      <w:sz w:val="28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sz w:val="28"/>
      <w:szCs w:val="28"/>
    </w:rPr>
  </w:style>
  <w:style w:type="character" w:customStyle="1" w:styleId="ListLabel458">
    <w:name w:val="ListLabel 458"/>
    <w:qFormat/>
    <w:rPr>
      <w:rFonts w:ascii="Times New Roman" w:hAnsi="Times New Roman" w:cs="Symbol"/>
    </w:rPr>
  </w:style>
  <w:style w:type="character" w:customStyle="1" w:styleId="ListLabel459">
    <w:name w:val="ListLabel 459"/>
    <w:qFormat/>
    <w:rPr>
      <w:rFonts w:ascii="Times New Roman" w:hAnsi="Times New Roman" w:cs="Symbol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ascii="Times New Roman" w:hAnsi="Times New Roman" w:cs="Symbol"/>
      <w:sz w:val="28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ascii="Times New Roman" w:hAnsi="Times New Roman" w:cs="Symbol"/>
      <w:sz w:val="28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Times New Roman" w:hAnsi="Times New Roman" w:cs="Symbol"/>
      <w:sz w:val="28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List Paragraph"/>
    <w:basedOn w:val="a"/>
    <w:qFormat/>
    <w:pPr>
      <w:spacing w:after="200"/>
      <w:ind w:left="720"/>
      <w:contextualSpacing/>
    </w:pPr>
  </w:style>
  <w:style w:type="paragraph" w:customStyle="1" w:styleId="ConsPlusCell">
    <w:name w:val="ConsPlusCell"/>
    <w:qFormat/>
    <w:pPr>
      <w:widowControl w:val="0"/>
    </w:pPr>
    <w:rPr>
      <w:rFonts w:ascii="Liberation Serif" w:hAnsi="Liberation Serif" w:cs="Calibri"/>
      <w:color w:val="00000A"/>
      <w:kern w:val="2"/>
      <w:sz w:val="24"/>
      <w:szCs w:val="24"/>
      <w:lang w:eastAsia="zh-CN" w:bidi="hi-IN"/>
    </w:rPr>
  </w:style>
  <w:style w:type="paragraph" w:styleId="af0">
    <w:name w:val="No Spacing"/>
    <w:qFormat/>
    <w:rPr>
      <w:rFonts w:ascii="Calibri" w:eastAsia="Calibri" w:hAnsi="Calibri"/>
      <w:color w:val="00000A"/>
      <w:kern w:val="2"/>
      <w:sz w:val="22"/>
      <w:szCs w:val="22"/>
      <w:lang w:eastAsia="zh-CN"/>
    </w:rPr>
  </w:style>
  <w:style w:type="paragraph" w:customStyle="1" w:styleId="ListParagraph1">
    <w:name w:val="List Paragraph1"/>
    <w:basedOn w:val="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89F4C-3BF1-410E-9F12-E89D58A1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 Юлия Анатольевна</dc:creator>
  <cp:lastModifiedBy>Агеева Юлия Анатольевна</cp:lastModifiedBy>
  <cp:revision>75</cp:revision>
  <cp:lastPrinted>2023-04-04T12:00:00Z</cp:lastPrinted>
  <dcterms:created xsi:type="dcterms:W3CDTF">2021-03-23T10:35:00Z</dcterms:created>
  <dcterms:modified xsi:type="dcterms:W3CDTF">2023-04-04T12:01:00Z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1049-11.2.0.11254</vt:lpwstr>
  </property>
  <property fmtid="{D5CDD505-2E9C-101B-9397-08002B2CF9AE}" pid="9" name="ICV">
    <vt:lpwstr>E598A1CAB3024417B9F28DC4E2C21504</vt:lpwstr>
  </property>
</Properties>
</file>