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ПРИЛОЖЕНИЕ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widowControl/>
        <w:tabs>
          <w:tab w:val="clear" w:pos="708"/>
          <w:tab w:val="left" w:pos="5730" w:leader="none"/>
        </w:tabs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Копейского городского округа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от __________ № ___________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/>
      </w:pPr>
      <w:r>
        <w:rPr>
          <w:color w:val="000000"/>
          <w:sz w:val="28"/>
          <w:szCs w:val="28"/>
        </w:rPr>
        <w:t>Изменения в муниципальную программу «Переселение граждан из жилищного фонда, признанного непригодным для проживания в Копейском                       городском округе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»</w:t>
      </w:r>
    </w:p>
    <w:p>
      <w:pPr>
        <w:pStyle w:val="Normal"/>
        <w:ind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680"/>
        <w:jc w:val="both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1. Пункт 5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false"/>
        <w:bidi w:val="0"/>
        <w:spacing w:lineRule="auto" w:line="276" w:before="0" w:after="0"/>
        <w:ind w:left="737" w:right="0" w:hanging="0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«5. Объемы бюджетных ассигнований муниципальной программы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.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Общий объем финансового обеспечения муниципальной программы в  2021-2024 годах составит </w:t>
      </w:r>
      <w:r>
        <w:rPr>
          <w:rFonts w:eastAsia="Times New Roman" w:cs="Liberation Serif" w:ascii="Times New Roman" w:hAnsi="Times New Roman"/>
          <w:color w:val="000000"/>
          <w:kern w:val="2"/>
          <w:sz w:val="28"/>
          <w:szCs w:val="28"/>
          <w:highlight w:val="white"/>
          <w:lang w:val="ru-RU" w:eastAsia="zh-CN" w:bidi="ar-SA"/>
        </w:rPr>
        <w:t>822 287,</w:t>
      </w:r>
      <w:r>
        <w:rPr>
          <w:rFonts w:eastAsia="Times New Roman" w:cs="Liberation Serif" w:ascii="Times New Roman" w:hAnsi="Times New Roman"/>
          <w:color w:val="000000"/>
          <w:kern w:val="2"/>
          <w:sz w:val="28"/>
          <w:szCs w:val="28"/>
          <w:highlight w:val="white"/>
          <w:lang w:val="ru-RU" w:eastAsia="zh-CN" w:bidi="ar-SA"/>
        </w:rPr>
        <w:t>0</w:t>
      </w: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 тыс. рублей, в том числе: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 w:eastAsia="Times New Roman" w:cs="Liberation Serif"/>
          <w:color w:val="000000"/>
          <w:kern w:val="2"/>
          <w:sz w:val="28"/>
          <w:szCs w:val="24"/>
          <w:lang w:val="ru-RU" w:eastAsia="zh-CN" w:bidi="ar-SA"/>
        </w:rPr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 w:eastAsia="Times New Roman" w:cs="Liberation Serif"/>
          <w:color w:val="000000"/>
          <w:kern w:val="2"/>
          <w:sz w:val="28"/>
          <w:szCs w:val="24"/>
          <w:lang w:val="ru-RU" w:eastAsia="zh-CN" w:bidi="ar-SA"/>
        </w:rPr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Таблица 2</w:t>
      </w:r>
    </w:p>
    <w:tbl>
      <w:tblPr>
        <w:tblW w:w="975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723"/>
        <w:gridCol w:w="2268"/>
        <w:gridCol w:w="2269"/>
        <w:gridCol w:w="2135"/>
      </w:tblGrid>
      <w:tr>
        <w:trPr/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8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Объемы финансирования (тыс. рублей)</w:t>
            </w:r>
          </w:p>
        </w:tc>
      </w:tr>
      <w:tr>
        <w:trPr/>
        <w:tc>
          <w:tcPr>
            <w:tcW w:w="1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Средства Фонда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Итого</w:t>
            </w:r>
          </w:p>
        </w:tc>
      </w:tr>
      <w:tr>
        <w:trPr>
          <w:trHeight w:val="160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2021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176,0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141 271,1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141 447,1</w:t>
            </w:r>
          </w:p>
        </w:tc>
      </w:tr>
      <w:tr>
        <w:trPr>
          <w:trHeight w:val="160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213,0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211 653,1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211 866,1</w:t>
            </w:r>
          </w:p>
        </w:tc>
      </w:tr>
      <w:tr>
        <w:trPr>
          <w:trHeight w:val="160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161,0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160 000,0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160 161,0</w:t>
            </w:r>
          </w:p>
        </w:tc>
      </w:tr>
      <w:tr>
        <w:trPr>
          <w:trHeight w:val="160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/>
              <w:t>2024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/>
              <w:t>309,0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/>
              <w:t>308 503,8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/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/>
              <w:t>308 812,8</w:t>
            </w:r>
          </w:p>
        </w:tc>
      </w:tr>
      <w:tr>
        <w:trPr>
          <w:trHeight w:val="328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859,0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821 428,0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bookmarkStart w:id="0" w:name="__DdeLink__4365_4139038848"/>
            <w:r>
              <w:rPr>
                <w:szCs w:val="28"/>
              </w:rPr>
              <w:t>8</w:t>
            </w:r>
            <w:bookmarkEnd w:id="0"/>
            <w:r>
              <w:rPr>
                <w:szCs w:val="28"/>
              </w:rPr>
              <w:t>22 287,</w:t>
            </w:r>
            <w:r>
              <w:rPr>
                <w:szCs w:val="28"/>
              </w:rPr>
              <w:t>0</w:t>
            </w:r>
          </w:p>
        </w:tc>
      </w:tr>
    </w:tbl>
    <w:p>
      <w:pPr>
        <w:pStyle w:val="Normal"/>
        <w:keepNext w:val="true"/>
        <w:tabs>
          <w:tab w:val="clear" w:pos="708"/>
          <w:tab w:val="left" w:pos="1134" w:leader="none"/>
        </w:tabs>
        <w:bidi w:val="0"/>
        <w:spacing w:lineRule="auto" w:line="240"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spacing w:lineRule="auto" w:line="240" w:before="0" w:after="0"/>
        <w:ind w:firstLine="709"/>
        <w:jc w:val="both"/>
        <w:rPr/>
      </w:pPr>
      <w:r>
        <w:rPr>
          <w:color w:val="000000"/>
          <w:sz w:val="28"/>
          <w:szCs w:val="28"/>
        </w:rPr>
        <w:t>Объемы финансирования мероприятий муниципальной программы        ежегодно уточняются при формировании бюджетов на очередной финансовый год.»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2. Таблицу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en-US"/>
        </w:rPr>
        <w:t>3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 xml:space="preserve">раздела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муниципальной программы изложить в              следующей редакции:</w:t>
      </w:r>
    </w:p>
    <w:p>
      <w:pPr>
        <w:pStyle w:val="Normal"/>
        <w:spacing w:lineRule="auto" w:line="240" w:before="0" w:after="0"/>
        <w:jc w:val="right"/>
        <w:rPr/>
      </w:pPr>
      <w:r>
        <w:rPr>
          <w:color w:val="000000"/>
          <w:kern w:val="2"/>
          <w:sz w:val="22"/>
          <w:szCs w:val="22"/>
          <w:lang w:eastAsia="ru-RU" w:bidi="hi-IN"/>
        </w:rPr>
        <w:t>«Таблица 3</w:t>
      </w:r>
    </w:p>
    <w:tbl>
      <w:tblPr>
        <w:tblW w:w="9846" w:type="dxa"/>
        <w:jc w:val="left"/>
        <w:tblInd w:w="-4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695"/>
        <w:gridCol w:w="924"/>
        <w:gridCol w:w="593"/>
        <w:gridCol w:w="1"/>
        <w:gridCol w:w="906"/>
        <w:gridCol w:w="853"/>
        <w:gridCol w:w="3"/>
        <w:gridCol w:w="1026"/>
        <w:gridCol w:w="3"/>
        <w:gridCol w:w="1135"/>
        <w:gridCol w:w="2"/>
        <w:gridCol w:w="1129"/>
        <w:gridCol w:w="3"/>
        <w:gridCol w:w="1104"/>
      </w:tblGrid>
      <w:tr>
        <w:trPr>
          <w:trHeight w:val="495" w:hRule="atLeast"/>
          <w:cantSplit w:val="true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ru-RU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ru-RU" w:bidi="hi-IN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ru-RU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ru-RU" w:bidi="hi-IN"/>
              </w:rPr>
              <w:t>п/п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40" w:hanging="0"/>
              <w:jc w:val="center"/>
              <w:rPr>
                <w:color w:val="000000"/>
                <w:kern w:val="2"/>
                <w:sz w:val="22"/>
                <w:szCs w:val="22"/>
                <w:lang w:eastAsia="ru-RU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ru-RU" w:bidi="hi-IN"/>
              </w:rPr>
              <w:t>Наименование          мероприятий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Ответственный исполнитель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-57" w:right="-57" w:hanging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Срок реализации</w:t>
            </w:r>
          </w:p>
        </w:tc>
        <w:tc>
          <w:tcPr>
            <w:tcW w:w="9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Источник финансирования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4" w:hanging="34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 xml:space="preserve">№ </w:t>
            </w: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показателя из паспорта программы</w:t>
            </w:r>
          </w:p>
        </w:tc>
        <w:tc>
          <w:tcPr>
            <w:tcW w:w="44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4" w:hanging="34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Объемы финансирования по годам  реализации муниципальной программы,             (тыс. руб.)</w:t>
            </w:r>
          </w:p>
        </w:tc>
      </w:tr>
      <w:tr>
        <w:trPr>
          <w:trHeight w:val="822" w:hRule="atLeast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4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90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317" w:hanging="317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317" w:hanging="317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2021 год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2022 год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2023 год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4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4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17" w:hanging="317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17" w:hanging="317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6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7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8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9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10</w:t>
            </w:r>
          </w:p>
        </w:tc>
      </w:tr>
      <w:tr>
        <w:trPr>
          <w:trHeight w:val="375" w:hRule="atLeast"/>
        </w:trPr>
        <w:tc>
          <w:tcPr>
            <w:tcW w:w="98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Цель: Ликвидации непригодного для проживания, аварийного жилищного фонда</w:t>
            </w:r>
          </w:p>
        </w:tc>
      </w:tr>
      <w:tr>
        <w:trPr>
          <w:trHeight w:val="375" w:hRule="atLeast"/>
        </w:trPr>
        <w:tc>
          <w:tcPr>
            <w:tcW w:w="98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57" w:hanging="0"/>
              <w:jc w:val="left"/>
              <w:rPr/>
            </w:pPr>
            <w:r>
              <w:rPr>
                <w:color w:val="000000"/>
                <w:sz w:val="22"/>
                <w:szCs w:val="22"/>
                <w:lang w:eastAsia="ru-RU"/>
              </w:rPr>
              <w:t>Задача 1: Формирование жилищного фонда, необходимого для переселения граждан из                      непригодного, аварийного жилищного фонда. Обеспечение жилищных прав граждан, проживающих в жилых помещениях муниципального жилищного фонда,  находящихся в непригодных, аварийных         многоквартирных домах. Обеспечение жилищных прав собственников изымаемых жилых                помещений, находящихся в непригодных, аварийных МКД.</w:t>
            </w:r>
          </w:p>
        </w:tc>
      </w:tr>
      <w:tr>
        <w:trPr>
          <w:trHeight w:val="733" w:hRule="atLeast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1.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Приобретение благоустроенных жилых помещений (квартир) для расселения             непригодных,        аварийных МКД.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pacing w:lineRule="auto" w:line="240"/>
              <w:ind w:left="-45" w:right="-64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УИиЗО,</w:t>
            </w:r>
          </w:p>
          <w:p>
            <w:pPr>
              <w:pStyle w:val="Normal"/>
              <w:widowControl w:val="false"/>
              <w:spacing w:lineRule="auto" w:line="240" w:before="0" w:after="0"/>
              <w:ind w:left="-31" w:hanging="0"/>
              <w:jc w:val="center"/>
              <w:rPr/>
            </w:pPr>
            <w:r>
              <w:rPr>
                <w:sz w:val="22"/>
                <w:szCs w:val="22"/>
              </w:rPr>
              <w:t xml:space="preserve">УАиГ,  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МУ «Управление строительства»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2021-2024 годы 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widowControl w:val="false"/>
              <w:suppressAutoHyphens w:val="false"/>
              <w:bidi w:val="0"/>
              <w:spacing w:lineRule="auto" w:line="240" w:before="0" w:after="0"/>
              <w:ind w:left="57" w:right="-57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1.1.1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176,0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false"/>
              <w:bidi w:val="0"/>
              <w:spacing w:lineRule="auto" w:line="240" w:before="0" w:after="0"/>
              <w:ind w:left="-57" w:right="-57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213,0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161,0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309,0</w:t>
            </w:r>
          </w:p>
        </w:tc>
      </w:tr>
      <w:tr>
        <w:trPr>
          <w:trHeight w:val="375" w:hRule="atLeast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Област-     ной      бюджет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widowControl w:val="false"/>
              <w:suppressAutoHyphens w:val="false"/>
              <w:bidi w:val="0"/>
              <w:snapToGrid w:val="false"/>
              <w:spacing w:lineRule="auto" w:line="240" w:before="0" w:after="0"/>
              <w:ind w:left="-57" w:right="227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141 271,1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211 653,1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160 000,0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308 503,8</w:t>
            </w:r>
          </w:p>
        </w:tc>
      </w:tr>
      <w:tr>
        <w:trPr>
          <w:trHeight w:val="375" w:hRule="atLeast"/>
        </w:trPr>
        <w:tc>
          <w:tcPr>
            <w:tcW w:w="98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color w:val="000000"/>
                <w:sz w:val="22"/>
                <w:szCs w:val="22"/>
                <w:lang w:eastAsia="ru-RU"/>
              </w:rPr>
              <w:t>Задача 2. Переселение жителей МКД, признанных непригодными для проживания, аварийными и подлежащими сносу или реконструкции.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1.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Расселение              непригодных,        аварийных МКД.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УИиЗО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2021-2024 годы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17" w:hanging="317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1.2.1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-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2.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Переселение жителей непригодных,        аварийных МКД.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УИиЗО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2021-2024 годы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17" w:hanging="317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1.2.2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-</w:t>
            </w:r>
          </w:p>
        </w:tc>
      </w:tr>
      <w:tr>
        <w:trPr>
          <w:trHeight w:val="375" w:hRule="atLeast"/>
        </w:trPr>
        <w:tc>
          <w:tcPr>
            <w:tcW w:w="368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1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    бюджет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176,0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false"/>
              <w:bidi w:val="0"/>
              <w:spacing w:lineRule="auto" w:line="240" w:before="0" w:after="0"/>
              <w:ind w:left="-57" w:right="-57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213,0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color w:val="000000"/>
                <w:kern w:val="2"/>
                <w:sz w:val="22"/>
                <w:szCs w:val="28"/>
                <w:lang w:eastAsia="en-US" w:bidi="hi-IN"/>
              </w:rPr>
              <w:t>161,0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309,0</w:t>
            </w:r>
          </w:p>
        </w:tc>
      </w:tr>
      <w:tr>
        <w:trPr>
          <w:trHeight w:val="375" w:hRule="atLeast"/>
        </w:trPr>
        <w:tc>
          <w:tcPr>
            <w:tcW w:w="3681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ind w:left="-45" w:right="-64" w:hanging="0"/>
              <w:jc w:val="left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1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      бюджет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141 271,1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211 653,1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kern w:val="2"/>
                <w:sz w:val="22"/>
                <w:szCs w:val="28"/>
                <w:lang w:eastAsia="en-US" w:bidi="hi-IN"/>
              </w:rPr>
              <w:t>160 000,0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308 503,8</w:t>
            </w:r>
          </w:p>
        </w:tc>
      </w:tr>
      <w:tr>
        <w:trPr>
          <w:trHeight w:val="375" w:hRule="atLeast"/>
        </w:trPr>
        <w:tc>
          <w:tcPr>
            <w:tcW w:w="3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822 287,</w:t>
            </w:r>
            <w:r>
              <w:rPr>
                <w:rFonts w:cs="Times New Roman" w:ascii="Times New Roman" w:hAnsi="Times New Roman"/>
                <w:sz w:val="22"/>
                <w:szCs w:val="28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141 447,1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211 866,1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color w:val="000000"/>
                <w:kern w:val="2"/>
                <w:sz w:val="22"/>
                <w:szCs w:val="28"/>
                <w:lang w:eastAsia="en-US" w:bidi="hi-IN"/>
              </w:rPr>
              <w:t>160 161,0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308 812,8»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bidi w:val="0"/>
        <w:spacing w:lineRule="auto" w:line="240" w:before="0" w:after="0"/>
        <w:ind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Исполняющий обязанности начальника управления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bidi w:val="0"/>
        <w:spacing w:lineRule="auto" w:line="240" w:before="0" w:after="0"/>
        <w:ind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имуществу и земельным отношениям администрации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bidi w:val="0"/>
        <w:spacing w:lineRule="auto" w:line="240" w:before="0" w:after="0"/>
        <w:ind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Копейского городского округа                                                            Р.Н. Хусаинов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ymbol">
    <w:altName w:val="MT Extra"/>
    <w:charset w:val="cc"/>
    <w:family w:val="roman"/>
    <w:pitch w:val="variable"/>
  </w:font>
  <w:font w:name="Courier New">
    <w:altName w:val="Letter Gothic"/>
    <w:charset w:val="cc"/>
    <w:family w:val="roman"/>
    <w:pitch w:val="variable"/>
  </w:font>
  <w:font w:name="Wingding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altName w:val="Times New Roman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3"/>
      <w:numFmt w:val="decimal"/>
      <w:lvlText w:val="%1)"/>
      <w:lvlJc w:val="left"/>
      <w:pPr>
        <w:tabs>
          <w:tab w:val="num" w:pos="1072"/>
        </w:tabs>
        <w:ind w:left="0" w:hanging="-737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6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bCs/>
      <w:sz w:val="18"/>
      <w:szCs w:val="18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0"/>
        <w:numId w:val="1"/>
      </w:numPr>
      <w:spacing w:lineRule="auto" w:line="360" w:before="240" w:after="60"/>
      <w:jc w:val="both"/>
      <w:outlineLvl w:val="0"/>
    </w:pPr>
    <w:rPr>
      <w:rFonts w:cs="Arial;Times New Roman"/>
      <w:bCs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cs="Times New Roman;Times New Roman"/>
    </w:rPr>
  </w:style>
  <w:style w:type="character" w:styleId="WW8Num2z0" w:customStyle="1">
    <w:name w:val="WW8Num2z0"/>
    <w:qFormat/>
    <w:rPr>
      <w:rFonts w:ascii="Symbol;MT Extra" w:hAnsi="Symbol;MT Extra" w:cs="Symbol;MT Extra"/>
      <w:sz w:val="24"/>
      <w:szCs w:val="24"/>
    </w:rPr>
  </w:style>
  <w:style w:type="character" w:styleId="WW8Num3z0" w:customStyle="1">
    <w:name w:val="WW8Num3z0"/>
    <w:qFormat/>
    <w:rPr>
      <w:rFonts w:ascii="Symbol;MT Extra" w:hAnsi="Symbol;MT Extra" w:cs="Symbol;MT Extra"/>
      <w:color w:val="000000"/>
      <w:sz w:val="28"/>
      <w:szCs w:val="28"/>
    </w:rPr>
  </w:style>
  <w:style w:type="character" w:styleId="WW8Num4z0" w:customStyle="1">
    <w:name w:val="WW8Num4z0"/>
    <w:qFormat/>
    <w:rPr>
      <w:color w:val="000000"/>
      <w:sz w:val="28"/>
      <w:szCs w:val="28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>
      <w:rFonts w:ascii="Symbol;MT Extra" w:hAnsi="Symbol;MT Extra" w:cs="Symbol;MT Extra"/>
    </w:rPr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Symbol;MT Extra" w:hAnsi="Symbol;MT Extra" w:cs="Symbol;MT Extra"/>
    </w:rPr>
  </w:style>
  <w:style w:type="character" w:styleId="WW8Num6z1" w:customStyle="1">
    <w:name w:val="WW8Num6z1"/>
    <w:qFormat/>
    <w:rPr>
      <w:rFonts w:ascii="Courier New;Letter Gothic" w:hAnsi="Courier New;Letter Gothic" w:cs="Courier New;Letter Gothic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;MT Extra" w:hAnsi="Symbol;MT Extra" w:cs="Symbol;MT Extra"/>
    </w:rPr>
  </w:style>
  <w:style w:type="character" w:styleId="WW8Num7z1" w:customStyle="1">
    <w:name w:val="WW8Num7z1"/>
    <w:qFormat/>
    <w:rPr>
      <w:rFonts w:ascii="Courier New;Letter Gothic" w:hAnsi="Courier New;Letter Gothic" w:cs="Courier New;Letter Gothic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11" w:customStyle="1">
    <w:name w:val="Заголовок 1 Знак"/>
    <w:qFormat/>
    <w:rPr>
      <w:b/>
      <w:bCs/>
      <w:sz w:val="18"/>
      <w:szCs w:val="18"/>
      <w:lang w:val="ru-RU" w:bidi="ar-SA"/>
    </w:rPr>
  </w:style>
  <w:style w:type="character" w:styleId="21" w:customStyle="1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styleId="31" w:customStyle="1">
    <w:name w:val="Заголовок 3 Знак"/>
    <w:qFormat/>
    <w:rPr>
      <w:rFonts w:cs="Arial;Times New Roman"/>
      <w:bCs/>
      <w:sz w:val="28"/>
      <w:szCs w:val="26"/>
    </w:rPr>
  </w:style>
  <w:style w:type="character" w:styleId="313" w:customStyle="1">
    <w:name w:val="Стиль Заголовок 3 + 13 пт Знак"/>
    <w:qFormat/>
    <w:rPr>
      <w:rFonts w:cs="Arial;Times New Roman"/>
      <w:bCs w:val="false"/>
      <w:sz w:val="28"/>
      <w:szCs w:val="26"/>
    </w:rPr>
  </w:style>
  <w:style w:type="character" w:styleId="22" w:customStyle="1">
    <w:name w:val="Основной текст 2 Знак"/>
    <w:qFormat/>
    <w:rPr>
      <w:sz w:val="24"/>
      <w:szCs w:val="24"/>
      <w:lang w:val="ru-RU" w:bidi="ar-SA"/>
    </w:rPr>
  </w:style>
  <w:style w:type="character" w:styleId="Style11" w:customStyle="1">
    <w:name w:val="Верх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styleId="Style12" w:customStyle="1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styleId="Pagenumber">
    <w:name w:val="page number"/>
    <w:basedOn w:val="DefaultParagraphFont"/>
    <w:qFormat/>
    <w:rPr/>
  </w:style>
  <w:style w:type="character" w:styleId="Style13" w:customStyle="1">
    <w:name w:val="Нижний колонтитул Знак"/>
    <w:qFormat/>
    <w:rPr>
      <w:sz w:val="24"/>
      <w:szCs w:val="24"/>
    </w:rPr>
  </w:style>
  <w:style w:type="character" w:styleId="Style14">
    <w:name w:val="Выделение"/>
    <w:qFormat/>
    <w:rPr>
      <w:i/>
      <w:iCs/>
    </w:rPr>
  </w:style>
  <w:style w:type="character" w:styleId="Style15" w:customStyle="1">
    <w:name w:val="Интернет-ссылка"/>
    <w:rPr>
      <w:color w:val="000080"/>
      <w:u w:val="single"/>
    </w:rPr>
  </w:style>
  <w:style w:type="character" w:styleId="ListLabel1" w:customStyle="1">
    <w:name w:val="ListLabel 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" w:customStyle="1">
    <w:name w:val="ListLabel 2"/>
    <w:qFormat/>
    <w:rPr>
      <w:color w:val="000000"/>
      <w:sz w:val="28"/>
      <w:szCs w:val="28"/>
    </w:rPr>
  </w:style>
  <w:style w:type="character" w:styleId="ListLabel3" w:customStyle="1">
    <w:name w:val="ListLabel 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" w:customStyle="1">
    <w:name w:val="ListLabel 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" w:customStyle="1">
    <w:name w:val="ListLabel 5"/>
    <w:qFormat/>
    <w:rPr>
      <w:color w:val="000000"/>
      <w:sz w:val="28"/>
      <w:szCs w:val="28"/>
    </w:rPr>
  </w:style>
  <w:style w:type="character" w:styleId="ListLabel6" w:customStyle="1">
    <w:name w:val="ListLabel 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7" w:customStyle="1">
    <w:name w:val="ListLabel 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8" w:customStyle="1">
    <w:name w:val="ListLabel 8"/>
    <w:qFormat/>
    <w:rPr>
      <w:color w:val="000000"/>
      <w:sz w:val="28"/>
      <w:szCs w:val="28"/>
    </w:rPr>
  </w:style>
  <w:style w:type="character" w:styleId="ListLabel9" w:customStyle="1">
    <w:name w:val="ListLabel 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0" w:customStyle="1">
    <w:name w:val="ListLabel 1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1" w:customStyle="1">
    <w:name w:val="ListLabel 11"/>
    <w:qFormat/>
    <w:rPr>
      <w:color w:val="000000"/>
      <w:sz w:val="28"/>
      <w:szCs w:val="28"/>
    </w:rPr>
  </w:style>
  <w:style w:type="character" w:styleId="ListLabel12" w:customStyle="1">
    <w:name w:val="ListLabel 1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3" w:customStyle="1">
    <w:name w:val="ListLabel 1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4" w:customStyle="1">
    <w:name w:val="ListLabel 14"/>
    <w:qFormat/>
    <w:rPr>
      <w:color w:val="000000"/>
      <w:sz w:val="28"/>
      <w:szCs w:val="28"/>
    </w:rPr>
  </w:style>
  <w:style w:type="character" w:styleId="ListLabel15" w:customStyle="1">
    <w:name w:val="ListLabel 1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6">
    <w:name w:val="ListLabel 1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7">
    <w:name w:val="ListLabel 17"/>
    <w:qFormat/>
    <w:rPr>
      <w:color w:val="000000"/>
      <w:sz w:val="28"/>
      <w:szCs w:val="28"/>
    </w:rPr>
  </w:style>
  <w:style w:type="character" w:styleId="ListLabel18">
    <w:name w:val="ListLabel 1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9">
    <w:name w:val="ListLabel 1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0">
    <w:name w:val="ListLabel 20"/>
    <w:qFormat/>
    <w:rPr>
      <w:color w:val="000000"/>
      <w:sz w:val="28"/>
      <w:szCs w:val="28"/>
    </w:rPr>
  </w:style>
  <w:style w:type="character" w:styleId="ListLabel21">
    <w:name w:val="ListLabel 2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2">
    <w:name w:val="ListLabel 2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3">
    <w:name w:val="ListLabel 23"/>
    <w:qFormat/>
    <w:rPr>
      <w:color w:val="000000"/>
      <w:sz w:val="28"/>
      <w:szCs w:val="28"/>
    </w:rPr>
  </w:style>
  <w:style w:type="character" w:styleId="ListLabel24">
    <w:name w:val="ListLabel 2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5">
    <w:name w:val="ListLabel 2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6">
    <w:name w:val="ListLabel 26"/>
    <w:qFormat/>
    <w:rPr>
      <w:color w:val="000000"/>
      <w:sz w:val="28"/>
      <w:szCs w:val="28"/>
    </w:rPr>
  </w:style>
  <w:style w:type="character" w:styleId="ListLabel27">
    <w:name w:val="ListLabel 2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8">
    <w:name w:val="ListLabel 2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9">
    <w:name w:val="ListLabel 29"/>
    <w:qFormat/>
    <w:rPr>
      <w:color w:val="000000"/>
      <w:sz w:val="28"/>
      <w:szCs w:val="28"/>
    </w:rPr>
  </w:style>
  <w:style w:type="character" w:styleId="ListLabel30">
    <w:name w:val="ListLabel 3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1">
    <w:name w:val="ListLabel 3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2">
    <w:name w:val="ListLabel 32"/>
    <w:qFormat/>
    <w:rPr>
      <w:color w:val="000000"/>
      <w:sz w:val="28"/>
      <w:szCs w:val="28"/>
    </w:rPr>
  </w:style>
  <w:style w:type="character" w:styleId="ListLabel33">
    <w:name w:val="ListLabel 3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4">
    <w:name w:val="ListLabel 3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5">
    <w:name w:val="ListLabel 35"/>
    <w:qFormat/>
    <w:rPr>
      <w:color w:val="000000"/>
      <w:sz w:val="28"/>
      <w:szCs w:val="28"/>
    </w:rPr>
  </w:style>
  <w:style w:type="character" w:styleId="ListLabel36">
    <w:name w:val="ListLabel 3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7">
    <w:name w:val="ListLabel 3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8">
    <w:name w:val="ListLabel 38"/>
    <w:qFormat/>
    <w:rPr>
      <w:color w:val="000000"/>
      <w:sz w:val="28"/>
      <w:szCs w:val="28"/>
    </w:rPr>
  </w:style>
  <w:style w:type="character" w:styleId="ListLabel39">
    <w:name w:val="ListLabel 3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0">
    <w:name w:val="ListLabel 4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1">
    <w:name w:val="ListLabel 41"/>
    <w:qFormat/>
    <w:rPr>
      <w:color w:val="000000"/>
      <w:sz w:val="28"/>
      <w:szCs w:val="28"/>
    </w:rPr>
  </w:style>
  <w:style w:type="character" w:styleId="ListLabel42">
    <w:name w:val="ListLabel 4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3">
    <w:name w:val="ListLabel 4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4">
    <w:name w:val="ListLabel 44"/>
    <w:qFormat/>
    <w:rPr>
      <w:color w:val="000000"/>
      <w:sz w:val="28"/>
      <w:szCs w:val="28"/>
    </w:rPr>
  </w:style>
  <w:style w:type="character" w:styleId="ListLabel45">
    <w:name w:val="ListLabel 4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6">
    <w:name w:val="ListLabel 4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7">
    <w:name w:val="ListLabel 47"/>
    <w:qFormat/>
    <w:rPr>
      <w:color w:val="000000"/>
      <w:sz w:val="28"/>
      <w:szCs w:val="28"/>
    </w:rPr>
  </w:style>
  <w:style w:type="character" w:styleId="ListLabel48">
    <w:name w:val="ListLabel 4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9">
    <w:name w:val="ListLabel 4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0">
    <w:name w:val="ListLabel 50"/>
    <w:qFormat/>
    <w:rPr>
      <w:color w:val="000000"/>
      <w:sz w:val="28"/>
      <w:szCs w:val="28"/>
    </w:rPr>
  </w:style>
  <w:style w:type="character" w:styleId="ListLabel51">
    <w:name w:val="ListLabel 5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2">
    <w:name w:val="ListLabel 5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3">
    <w:name w:val="ListLabel 53"/>
    <w:qFormat/>
    <w:rPr>
      <w:color w:val="000000"/>
      <w:sz w:val="28"/>
      <w:szCs w:val="28"/>
    </w:rPr>
  </w:style>
  <w:style w:type="character" w:styleId="ListLabel54">
    <w:name w:val="ListLabel 5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5">
    <w:name w:val="ListLabel 5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6">
    <w:name w:val="ListLabel 56"/>
    <w:qFormat/>
    <w:rPr>
      <w:color w:val="000000"/>
      <w:sz w:val="28"/>
      <w:szCs w:val="28"/>
    </w:rPr>
  </w:style>
  <w:style w:type="character" w:styleId="ListLabel57">
    <w:name w:val="ListLabel 5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8">
    <w:name w:val="ListLabel 5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9">
    <w:name w:val="ListLabel 59"/>
    <w:qFormat/>
    <w:rPr>
      <w:color w:val="000000"/>
      <w:sz w:val="28"/>
      <w:szCs w:val="28"/>
    </w:rPr>
  </w:style>
  <w:style w:type="character" w:styleId="ListLabel60">
    <w:name w:val="ListLabel 6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1">
    <w:name w:val="ListLabel 6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2">
    <w:name w:val="ListLabel 62"/>
    <w:qFormat/>
    <w:rPr>
      <w:color w:val="000000"/>
      <w:sz w:val="28"/>
      <w:szCs w:val="28"/>
    </w:rPr>
  </w:style>
  <w:style w:type="character" w:styleId="ListLabel63">
    <w:name w:val="ListLabel 6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4">
    <w:name w:val="ListLabel 6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5">
    <w:name w:val="ListLabel 65"/>
    <w:qFormat/>
    <w:rPr>
      <w:color w:val="000000"/>
      <w:sz w:val="28"/>
      <w:szCs w:val="28"/>
    </w:rPr>
  </w:style>
  <w:style w:type="character" w:styleId="ListLabel66">
    <w:name w:val="ListLabel 6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60">
    <w:name w:val="ListLabel 560"/>
    <w:qFormat/>
    <w:rPr>
      <w:rFonts w:ascii="Times New Roman" w:hAnsi="Times New Roman" w:eastAsia="Times New Roman" w:cs="Times New Roman"/>
      <w:sz w:val="28"/>
    </w:rPr>
  </w:style>
  <w:style w:type="character" w:styleId="ListLabel561">
    <w:name w:val="ListLabel 561"/>
    <w:qFormat/>
    <w:rPr>
      <w:rFonts w:ascii="Times New Roman" w:hAnsi="Times New Roman" w:eastAsia="Times New Roman" w:cs="Times New Roman"/>
      <w:sz w:val="28"/>
    </w:rPr>
  </w:style>
  <w:style w:type="character" w:styleId="ListLabel562">
    <w:name w:val="ListLabel 562"/>
    <w:qFormat/>
    <w:rPr>
      <w:rFonts w:eastAsia="Times New Roman" w:cs="Times New Roman"/>
    </w:rPr>
  </w:style>
  <w:style w:type="character" w:styleId="ListLabel563">
    <w:name w:val="ListLabel 563"/>
    <w:qFormat/>
    <w:rPr>
      <w:rFonts w:eastAsia="Times New Roman" w:cs="Times New Roman"/>
    </w:rPr>
  </w:style>
  <w:style w:type="character" w:styleId="ListLabel564">
    <w:name w:val="ListLabel 564"/>
    <w:qFormat/>
    <w:rPr>
      <w:rFonts w:eastAsia="Times New Roman" w:cs="Times New Roman"/>
    </w:rPr>
  </w:style>
  <w:style w:type="character" w:styleId="ListLabel565">
    <w:name w:val="ListLabel 565"/>
    <w:qFormat/>
    <w:rPr>
      <w:rFonts w:eastAsia="Times New Roman" w:cs="Times New Roman"/>
    </w:rPr>
  </w:style>
  <w:style w:type="character" w:styleId="ListLabel566">
    <w:name w:val="ListLabel 566"/>
    <w:qFormat/>
    <w:rPr>
      <w:rFonts w:eastAsia="Times New Roman" w:cs="Times New Roman"/>
    </w:rPr>
  </w:style>
  <w:style w:type="character" w:styleId="ListLabel567">
    <w:name w:val="ListLabel 567"/>
    <w:qFormat/>
    <w:rPr>
      <w:rFonts w:eastAsia="Times New Roman" w:cs="Times New Roman"/>
    </w:rPr>
  </w:style>
  <w:style w:type="character" w:styleId="ListLabel568">
    <w:name w:val="ListLabel 568"/>
    <w:qFormat/>
    <w:rPr>
      <w:rFonts w:eastAsia="Times New Roman" w:cs="Times New Roman"/>
    </w:rPr>
  </w:style>
  <w:style w:type="character" w:styleId="ListLabel569">
    <w:name w:val="ListLabel 569"/>
    <w:qFormat/>
    <w:rPr>
      <w:rFonts w:eastAsia="Times New Roman" w:cs="Times New Roman"/>
      <w:sz w:val="28"/>
    </w:rPr>
  </w:style>
  <w:style w:type="character" w:styleId="ListLabel570">
    <w:name w:val="ListLabel 570"/>
    <w:qFormat/>
    <w:rPr>
      <w:rFonts w:eastAsia="Times New Roman" w:cs="Times New Roman"/>
      <w:sz w:val="28"/>
    </w:rPr>
  </w:style>
  <w:style w:type="character" w:styleId="ListLabel571">
    <w:name w:val="ListLabel 571"/>
    <w:qFormat/>
    <w:rPr>
      <w:rFonts w:eastAsia="Times New Roman" w:cs="Times New Roman"/>
    </w:rPr>
  </w:style>
  <w:style w:type="character" w:styleId="ListLabel572">
    <w:name w:val="ListLabel 572"/>
    <w:qFormat/>
    <w:rPr>
      <w:rFonts w:eastAsia="Times New Roman" w:cs="Times New Roman"/>
    </w:rPr>
  </w:style>
  <w:style w:type="character" w:styleId="ListLabel573">
    <w:name w:val="ListLabel 573"/>
    <w:qFormat/>
    <w:rPr>
      <w:rFonts w:eastAsia="Times New Roman" w:cs="Times New Roman"/>
    </w:rPr>
  </w:style>
  <w:style w:type="character" w:styleId="ListLabel574">
    <w:name w:val="ListLabel 574"/>
    <w:qFormat/>
    <w:rPr>
      <w:rFonts w:eastAsia="Times New Roman" w:cs="Times New Roman"/>
    </w:rPr>
  </w:style>
  <w:style w:type="character" w:styleId="ListLabel575">
    <w:name w:val="ListLabel 575"/>
    <w:qFormat/>
    <w:rPr>
      <w:rFonts w:eastAsia="Times New Roman" w:cs="Times New Roman"/>
    </w:rPr>
  </w:style>
  <w:style w:type="character" w:styleId="ListLabel576">
    <w:name w:val="ListLabel 576"/>
    <w:qFormat/>
    <w:rPr>
      <w:rFonts w:eastAsia="Times New Roman" w:cs="Times New Roman"/>
    </w:rPr>
  </w:style>
  <w:style w:type="character" w:styleId="ListLabel577">
    <w:name w:val="ListLabel 577"/>
    <w:qFormat/>
    <w:rPr>
      <w:rFonts w:eastAsia="Times New Roman" w:cs="Times New Roman"/>
    </w:rPr>
  </w:style>
  <w:style w:type="character" w:styleId="WW8Num13z0">
    <w:name w:val="WW8Num13z0"/>
    <w:qFormat/>
    <w:rPr>
      <w:rFonts w:cs="Times New Roman"/>
      <w:szCs w:val="28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ListLabel578">
    <w:name w:val="ListLabel 578"/>
    <w:qFormat/>
    <w:rPr>
      <w:rFonts w:cs="Times New Roman"/>
      <w:szCs w:val="28"/>
    </w:rPr>
  </w:style>
  <w:style w:type="paragraph" w:styleId="Style16" w:customStyle="1">
    <w:name w:val="Заголовок"/>
    <w:basedOn w:val="Normal"/>
    <w:next w:val="Style17"/>
    <w:qFormat/>
    <w:pPr>
      <w:jc w:val="center"/>
    </w:pPr>
    <w:rPr>
      <w:b/>
      <w:bCs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3131" w:customStyle="1">
    <w:name w:val="Стиль Заголовок 3 + 13 пт"/>
    <w:basedOn w:val="3"/>
    <w:qFormat/>
    <w:pPr>
      <w:numPr>
        <w:ilvl w:val="0"/>
        <w:numId w:val="0"/>
      </w:numPr>
    </w:pPr>
    <w:rPr>
      <w:bCs w:val="false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;Times New Roman" w:hAnsi="Arial;Times New Roman" w:eastAsia="Times New Roman;Times New Roman" w:cs="Arial;Times New Roman"/>
      <w:b/>
      <w:bCs/>
      <w:color w:val="auto"/>
      <w:kern w:val="0"/>
      <w:sz w:val="24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200"/>
      <w:ind w:left="680" w:right="0" w:hanging="0"/>
      <w:contextualSpacing/>
    </w:pPr>
    <w:rPr>
      <w:rFonts w:ascii="Calibri" w:hAnsi="Calibri" w:cs="Calibri"/>
      <w:sz w:val="22"/>
      <w:szCs w:val="22"/>
    </w:rPr>
  </w:style>
  <w:style w:type="paragraph" w:styleId="Style21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 Знак Знак Знак Знак Знак 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napToGrid w:val="false"/>
      <w:jc w:val="left"/>
    </w:pPr>
    <w:rPr>
      <w:rFonts w:ascii="Courier New;Letter Gothic" w:hAnsi="Courier New;Letter Gothic" w:eastAsia="Times New Roman;Times New Roman" w:cs="Courier New;Letter Gothic"/>
      <w:color w:val="auto"/>
      <w:kern w:val="0"/>
      <w:sz w:val="24"/>
      <w:szCs w:val="20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Содержимое врезки"/>
    <w:basedOn w:val="Normal"/>
    <w:qFormat/>
    <w:pPr/>
    <w:rPr/>
  </w:style>
  <w:style w:type="paragraph" w:styleId="ConsPlusNormal">
    <w:name w:val="ConsPlusNormal"/>
    <w:qFormat/>
    <w:pPr>
      <w:widowControl/>
      <w:suppressAutoHyphens w:val="true"/>
      <w:bidi w:val="0"/>
      <w:jc w:val="left"/>
      <w:textAlignment w:val="auto"/>
    </w:pPr>
    <w:rPr>
      <w:rFonts w:ascii="Arial" w:hAnsi="Arial" w:eastAsia="Times New Roman" w:cs="Liberation Serif"/>
      <w:color w:val="000000"/>
      <w:kern w:val="2"/>
      <w:sz w:val="20"/>
      <w:szCs w:val="20"/>
      <w:lang w:val="ru-RU" w:eastAsia="ru-RU" w:bidi="hi-IN"/>
    </w:rPr>
  </w:style>
  <w:style w:type="paragraph" w:styleId="C7e0e3eeebeee2eeea1">
    <w:name w:val="Зc7аe0гe3оeeлebоeeвe2оeeкea 1"/>
    <w:basedOn w:val="Normal"/>
    <w:qFormat/>
    <w:pPr>
      <w:keepNext w:val="true"/>
      <w:keepLines/>
      <w:widowControl/>
      <w:tabs>
        <w:tab w:val="clear" w:pos="708"/>
        <w:tab w:val="left" w:pos="0" w:leader="none"/>
      </w:tabs>
      <w:suppressAutoHyphens w:val="true"/>
      <w:spacing w:lineRule="auto" w:line="276"/>
      <w:jc w:val="center"/>
      <w:textAlignment w:val="auto"/>
    </w:pPr>
    <w:rPr>
      <w:rFonts w:ascii="Times New Roman" w:hAnsi="Times New Roman" w:eastAsia="Times New Roman" w:cs="Liberation Serif"/>
      <w:b/>
      <w:bCs/>
      <w:color w:val="365F91"/>
      <w:kern w:val="2"/>
      <w:sz w:val="28"/>
      <w:szCs w:val="28"/>
      <w:lang w:val="ru-RU" w:eastAsia="zh-CN" w:bidi="ar-SA"/>
    </w:rPr>
  </w:style>
  <w:style w:type="paragraph" w:styleId="23">
    <w:name w:val="Стиль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</w:rPr>
  </w:style>
  <w:style w:type="paragraph" w:styleId="Style27">
    <w:name w:val="Нормальный (таблица)"/>
    <w:basedOn w:val="Normal"/>
    <w:next w:val="Normal"/>
    <w:qFormat/>
    <w:pPr>
      <w:widowControl w:val="false"/>
      <w:suppressAutoHyphens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8">
    <w:name w:val="Прижатый влево"/>
    <w:basedOn w:val="Normal"/>
    <w:next w:val="Normal"/>
    <w:qFormat/>
    <w:pPr>
      <w:widowControl w:val="false"/>
      <w:suppressAutoHyphens w:val="false"/>
      <w:spacing w:lineRule="auto" w:line="240" w:before="0" w:after="0"/>
    </w:pPr>
    <w:rPr>
      <w:rFonts w:ascii="Arial" w:hAnsi="Arial" w:cs="Arial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13">
    <w:name w:val="WW8Num1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Application>LibreOffice/6.1.4.2$Windows_X86_64 LibreOffice_project/9d0f32d1f0b509096fd65e0d4bec26ddd1938fd3</Application>
  <Pages>2</Pages>
  <Words>359</Words>
  <Characters>2273</Characters>
  <CharactersWithSpaces>2749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2019-10-25T09:15:00Z</dcterms:created>
  <dc:creator>Финансы</dc:creator>
  <dc:description/>
  <dc:language>ru-RU</dc:language>
  <cp:lastModifiedBy/>
  <cp:lastPrinted>2022-11-25T13:23:44Z</cp:lastPrinted>
  <dcterms:modified xsi:type="dcterms:W3CDTF">2022-11-25T13:23:56Z</dcterms:modified>
  <cp:revision>118</cp:revision>
  <dc:subject/>
  <dc:title>Утверждена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