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bookmarkStart w:id="2" w:name="_GoBack"/>
      <w:bookmarkEnd w:id="2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  <w:lang w:val="en-US"/>
        </w:rPr>
        <w:t>02.10.2026</w:t>
        <w:tab/>
        <w:t>№3419-п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ind w:right="5159"/>
        <w:jc w:val="both"/>
        <w:rPr/>
      </w:pPr>
      <w:r>
        <w:rPr>
          <w:sz w:val="28"/>
          <w:szCs w:val="28"/>
        </w:rPr>
        <w:t xml:space="preserve">Об установлении норматива стоимости одного квадратного метра общей площади жилого помещения по муниципальному образованию «Копейский городской округ» на 4 квартал 2026 года для расчета размера социальных выплат на приобретение жилого помещения или строительство индивидуального жилого дома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0"/>
        <w:jc w:val="both"/>
        <w:rPr/>
      </w:pPr>
      <w:r>
        <w:rPr>
          <w:sz w:val="28"/>
          <w:szCs w:val="28"/>
        </w:rPr>
        <w:t xml:space="preserve">В соответствии с </w:t>
      </w:r>
      <w:r>
        <w:rPr>
          <w:rStyle w:val="Style15"/>
          <w:color w:val="000000"/>
          <w:sz w:val="28"/>
          <w:szCs w:val="28"/>
        </w:rPr>
        <w:t xml:space="preserve">Жилищным кодексом Российской Федерации, Федеральными законами от 20 марта 2025 года № 33-ФЗ «Об общих принципах организации местного самоуправления в единой системе публичной власти», </w:t>
      </w:r>
      <w:r>
        <w:rPr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Федерации», государственной программой Российской Федерации «О</w:t>
      </w:r>
      <w:r>
        <w:rPr>
          <w:sz w:val="28"/>
          <w:szCs w:val="28"/>
          <w:lang w:eastAsia="ru-RU"/>
        </w:rPr>
        <w:t>беспечение доступным и комфортным жильем и коммунальными услугами граждан Российской Федерации</w:t>
      </w:r>
      <w:r>
        <w:rPr>
          <w:sz w:val="28"/>
          <w:szCs w:val="28"/>
        </w:rPr>
        <w:t>», утвержденной постановлением Правительства Российской Федерации от 30.12.2017 № 1710, Приказом Министерства строительства и жилищно-коммунального хозяйства Российской Федерации от 11.09.2026 № 602/пр «О средней рыночной стоимости одного квадратного метра общей площади жилого помещения по субъектам Российской Федерации на IV квартал 2026 года», распоряжением администрации Копейского городского округа от 01.11.2024 № 876-р             «Об утверждении муниципальной программы «Оказание молодым семьям государственной поддержки для улучшения жилищных условий в Копейском городском округе» администрация Копейского городского округа</w:t>
      </w:r>
    </w:p>
    <w:p>
      <w:pPr>
        <w:pStyle w:val="Normal"/>
        <w:widowControl w:val="false"/>
        <w:jc w:val="both"/>
        <w:rPr/>
      </w:pPr>
      <w:r>
        <w:rPr>
          <w:sz w:val="28"/>
          <w:szCs w:val="28"/>
        </w:rPr>
        <w:t>ПОСТАНОВЛЯЕТ:</w:t>
      </w:r>
    </w:p>
    <w:p>
      <w:pPr>
        <w:pStyle w:val="Normal"/>
        <w:widowControl w:val="false"/>
        <w:tabs>
          <w:tab w:val="clear" w:pos="708"/>
          <w:tab w:val="left" w:pos="1125" w:leader="none"/>
        </w:tabs>
        <w:ind w:firstLine="850"/>
        <w:jc w:val="both"/>
        <w:rPr/>
      </w:pPr>
      <w:r>
        <w:rPr>
          <w:sz w:val="28"/>
          <w:szCs w:val="28"/>
        </w:rPr>
        <w:t>1.</w:t>
        <w:tab/>
        <w:t xml:space="preserve">Установить норматив стоимости одного квадратного метра общей площади жилого помещения по муниципальному образованию «Копейский городской округ» на 4 квартал 2026 года в размере 113829  (сто тринадцать тысяч восемьсот двадцать девять) рублей для расчета размера социальных выплат на приобретение жилого помещения или строительство индивидуального жилого дома – участникам муниципальной </w:t>
      </w:r>
      <w:hyperlink r:id="rId2" w:tooltip="consultantplus://offline/ref=B6C81C80FE718701D7CBF61242694125EACD5999F9C54BDA7EF63EAE6141098A21D6BE13B6418AC4C69368g9z3I">
        <w:r>
          <w:rPr>
            <w:rStyle w:val="Hyperlink"/>
            <w:color w:val="000000"/>
            <w:sz w:val="28"/>
            <w:szCs w:val="28"/>
            <w:u w:val="none"/>
            <w:lang w:val="ru-RU"/>
          </w:rPr>
          <w:t>прог</w:t>
        </w:r>
      </w:hyperlink>
      <w:r>
        <w:rPr>
          <w:color w:val="000000"/>
          <w:sz w:val="28"/>
          <w:szCs w:val="28"/>
        </w:rPr>
        <w:t>раммы</w:t>
      </w:r>
      <w:r>
        <w:rPr>
          <w:sz w:val="28"/>
          <w:szCs w:val="28"/>
        </w:rPr>
        <w:t xml:space="preserve"> «Оказание молодым семьям государственной поддержки для улучшения жилищных условий в Копейском городском округе». </w:t>
      </w:r>
    </w:p>
    <w:p>
      <w:pPr>
        <w:pStyle w:val="Normal"/>
        <w:widowControl w:val="false"/>
        <w:tabs>
          <w:tab w:val="clear" w:pos="708"/>
          <w:tab w:val="left" w:pos="1125" w:leader="none"/>
        </w:tabs>
        <w:ind w:firstLine="850"/>
        <w:jc w:val="both"/>
        <w:rPr/>
      </w:pPr>
      <w:r>
        <w:rPr>
          <w:sz w:val="28"/>
          <w:szCs w:val="28"/>
        </w:rPr>
        <w:t>2.</w:t>
        <w:tab/>
        <w:t>Отделу жилищной политики администрации Копейского городского округа (Саевская И.Д.) руководствоваться настоящим постановлением при расчете размера социальных выплат на приобретение жилого помещения или строительство индивидуального жилого дома – участникам муниципальной программы «Оказание молодым семьям государственной поддержки для улучшения жилищных условий в Копейском городском округе».</w:t>
      </w:r>
    </w:p>
    <w:p>
      <w:pPr>
        <w:pStyle w:val="Normal"/>
        <w:tabs>
          <w:tab w:val="clear" w:pos="708"/>
          <w:tab w:val="left" w:pos="1125" w:leader="none"/>
        </w:tabs>
        <w:ind w:firstLine="850"/>
        <w:jc w:val="both"/>
        <w:rPr/>
      </w:pPr>
      <w:r>
        <w:rPr>
          <w:sz w:val="28"/>
          <w:szCs w:val="28"/>
        </w:rPr>
        <w:t>3.</w:t>
        <w:tab/>
        <w:t>Отделу пресс-службы администрации Копейского городского округа (Петренко Е.А.)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в сети Интернет.</w:t>
      </w:r>
    </w:p>
    <w:p>
      <w:pPr>
        <w:pStyle w:val="Normal"/>
        <w:tabs>
          <w:tab w:val="clear" w:pos="708"/>
          <w:tab w:val="left" w:pos="1110" w:leader="none"/>
        </w:tabs>
        <w:ind w:firstLine="850"/>
        <w:jc w:val="both"/>
        <w:rPr/>
      </w:pPr>
      <w:r>
        <w:rPr>
          <w:sz w:val="28"/>
          <w:szCs w:val="28"/>
        </w:rPr>
        <w:t>4.</w:t>
        <w:tab/>
        <w:t xml:space="preserve">Отделу бухгалтерского учета и отчетности администрации Копейского городского округа (Шульгина И.Ю.) возместить расходы, связанные с опубликованием настоящего постановления, за счёт средств, предусмотренных на эти цели. </w:t>
      </w:r>
    </w:p>
    <w:p>
      <w:pPr>
        <w:pStyle w:val="Normal"/>
        <w:tabs>
          <w:tab w:val="clear" w:pos="708"/>
          <w:tab w:val="left" w:pos="1155" w:leader="none"/>
        </w:tabs>
        <w:ind w:firstLine="850"/>
        <w:jc w:val="both"/>
        <w:rPr/>
      </w:pPr>
      <w:r>
        <w:rPr>
          <w:sz w:val="28"/>
          <w:szCs w:val="28"/>
        </w:rPr>
        <w:t>5.</w:t>
        <w:tab/>
      </w:r>
      <w:r>
        <w:rPr>
          <w:rStyle w:val="Style15"/>
          <w:rFonts w:eastAsia="Arial"/>
          <w:bCs/>
          <w:color w:val="000000"/>
          <w:sz w:val="28"/>
          <w:szCs w:val="28"/>
        </w:rPr>
        <w:t>Контроль исполнения настоящего постановления возложить на заместителя Главы городского округа по имуществу, градостроительству и жилищной политике Рукавишникова А.Ю.</w:t>
      </w:r>
    </w:p>
    <w:p>
      <w:pPr>
        <w:pStyle w:val="Normal"/>
        <w:tabs>
          <w:tab w:val="clear" w:pos="708"/>
          <w:tab w:val="left" w:pos="1140" w:leader="none"/>
        </w:tabs>
        <w:ind w:firstLine="850"/>
        <w:jc w:val="both"/>
        <w:rPr/>
      </w:pPr>
      <w:r>
        <w:rPr>
          <w:sz w:val="28"/>
          <w:szCs w:val="28"/>
        </w:rPr>
        <w:t>6.</w:t>
        <w:tab/>
        <w:t>Настоящее постановление вступает в силу со дня официального опубликования.</w:t>
      </w:r>
    </w:p>
    <w:p>
      <w:pPr>
        <w:pStyle w:val="Normal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3"/>
        <w:jc w:val="both"/>
        <w:rPr>
          <w:szCs w:val="28"/>
        </w:rPr>
      </w:pPr>
      <w:r>
        <w:rPr>
          <w:szCs w:val="28"/>
        </w:rPr>
        <w:t xml:space="preserve">Временно исполняющий полномочия </w:t>
      </w:r>
    </w:p>
    <w:p>
      <w:pPr>
        <w:pStyle w:val="13"/>
        <w:jc w:val="both"/>
        <w:rPr>
          <w:szCs w:val="28"/>
        </w:rPr>
      </w:pPr>
      <w:r>
        <w:rPr>
          <w:szCs w:val="28"/>
        </w:rPr>
        <w:t>Главы городского округа                                                                  А.Н. Арасланов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620" w:gutter="0" w:header="709" w:top="1134" w:footer="0" w:bottom="1099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Liberation Sans">
    <w:altName w:val="Arial"/>
    <w:charset w:val="01"/>
    <w:family w:val="auto"/>
    <w:pitch w:val="default"/>
  </w:font>
  <w:font w:name="PT Astra Serif">
    <w:charset w:val="01"/>
    <w:family w:val="roman"/>
    <w:pitch w:val="default"/>
  </w:font>
  <w:font w:name="Tahoma">
    <w:charset w:val="01"/>
    <w:family w:val="auto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-63500</wp:posOffset>
              </wp:positionV>
              <wp:extent cx="125730" cy="213995"/>
              <wp:effectExtent l="0" t="0" r="0" b="0"/>
              <wp:wrapSquare wrapText="bothSides"/>
              <wp:docPr id="1" name="Фигур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640" cy="213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  <w:p>
                          <w:pPr>
                            <w:pStyle w:val="Style18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24840" rIns="24840" tIns="24840" bIns="2484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Фигура1" path="m0,0l-2147483645,0l-2147483645,-2147483646l0,-2147483646xe" stroked="f" o:allowincell="f" style="position:absolute;margin-left:234.65pt;margin-top:-5pt;width:9.85pt;height:16.8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  <w:p>
                    <w:pPr>
                      <w:pStyle w:val="Style18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Droid Sans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Heading1">
    <w:name w:val="heading 1"/>
    <w:link w:val="1"/>
    <w:uiPriority w:val="9"/>
    <w:qFormat/>
    <w:pPr>
      <w:keepNext w:val="true"/>
      <w:keepLines/>
      <w:widowControl/>
      <w:suppressAutoHyphens w:val="true"/>
      <w:bidi w:val="0"/>
      <w:spacing w:before="480" w:after="200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zh-CN" w:bidi="ar-SA"/>
    </w:rPr>
  </w:style>
  <w:style w:type="paragraph" w:styleId="Heading2">
    <w:name w:val="heading 2"/>
    <w:link w:val="2"/>
    <w:uiPriority w:val="9"/>
    <w:unhideWhenUsed/>
    <w:qFormat/>
    <w:pPr>
      <w:keepNext w:val="true"/>
      <w:keepLines/>
      <w:widowControl/>
      <w:suppressAutoHyphens w:val="true"/>
      <w:bidi w:val="0"/>
      <w:spacing w:before="360" w:after="200"/>
      <w:jc w:val="left"/>
      <w:outlineLvl w:val="1"/>
    </w:pPr>
    <w:rPr>
      <w:rFonts w:ascii="Arial" w:hAnsi="Arial" w:eastAsia="Arial" w:cs="Arial"/>
      <w:color w:val="auto"/>
      <w:kern w:val="0"/>
      <w:sz w:val="34"/>
      <w:szCs w:val="20"/>
      <w:lang w:val="ru-RU" w:eastAsia="zh-CN" w:bidi="ar-SA"/>
    </w:rPr>
  </w:style>
  <w:style w:type="paragraph" w:styleId="Heading3">
    <w:name w:val="heading 3"/>
    <w:link w:val="3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2"/>
    </w:pPr>
    <w:rPr>
      <w:rFonts w:ascii="Arial" w:hAnsi="Arial" w:eastAsia="Arial" w:cs="Arial"/>
      <w:color w:val="auto"/>
      <w:kern w:val="0"/>
      <w:sz w:val="30"/>
      <w:szCs w:val="30"/>
      <w:lang w:val="ru-RU" w:eastAsia="zh-CN" w:bidi="ar-SA"/>
    </w:rPr>
  </w:style>
  <w:style w:type="paragraph" w:styleId="Heading4">
    <w:name w:val="heading 4"/>
    <w:link w:val="4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3"/>
    </w:pPr>
    <w:rPr>
      <w:rFonts w:ascii="Arial" w:hAnsi="Arial" w:eastAsia="Arial" w:cs="Arial"/>
      <w:b/>
      <w:bCs/>
      <w:color w:val="auto"/>
      <w:kern w:val="0"/>
      <w:sz w:val="26"/>
      <w:szCs w:val="26"/>
      <w:lang w:val="ru-RU" w:eastAsia="zh-CN" w:bidi="ar-SA"/>
    </w:rPr>
  </w:style>
  <w:style w:type="paragraph" w:styleId="Heading5">
    <w:name w:val="heading 5"/>
    <w:link w:val="5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4"/>
    </w:pPr>
    <w:rPr>
      <w:rFonts w:ascii="Arial" w:hAnsi="Arial" w:eastAsia="Arial" w:cs="Arial"/>
      <w:b/>
      <w:bCs/>
      <w:color w:val="auto"/>
      <w:kern w:val="0"/>
      <w:sz w:val="24"/>
      <w:szCs w:val="24"/>
      <w:lang w:val="ru-RU" w:eastAsia="zh-CN" w:bidi="ar-SA"/>
    </w:rPr>
  </w:style>
  <w:style w:type="paragraph" w:styleId="Heading6">
    <w:name w:val="heading 6"/>
    <w:link w:val="6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5"/>
    </w:pPr>
    <w:rPr>
      <w:rFonts w:ascii="Arial" w:hAnsi="Arial" w:eastAsia="Arial" w:cs="Arial"/>
      <w:b/>
      <w:bCs/>
      <w:color w:val="auto"/>
      <w:kern w:val="0"/>
      <w:sz w:val="22"/>
      <w:szCs w:val="22"/>
      <w:lang w:val="ru-RU" w:eastAsia="zh-CN" w:bidi="ar-SA"/>
    </w:rPr>
  </w:style>
  <w:style w:type="paragraph" w:styleId="Heading7">
    <w:name w:val="heading 7"/>
    <w:link w:val="7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6"/>
    </w:pPr>
    <w:rPr>
      <w:rFonts w:ascii="Arial" w:hAnsi="Arial" w:eastAsia="Arial" w:cs="Arial"/>
      <w:b/>
      <w:bCs/>
      <w:i/>
      <w:iCs/>
      <w:color w:val="auto"/>
      <w:kern w:val="0"/>
      <w:sz w:val="22"/>
      <w:szCs w:val="22"/>
      <w:lang w:val="ru-RU" w:eastAsia="zh-CN" w:bidi="ar-SA"/>
    </w:rPr>
  </w:style>
  <w:style w:type="paragraph" w:styleId="Heading8">
    <w:name w:val="heading 8"/>
    <w:link w:val="8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7"/>
    </w:pPr>
    <w:rPr>
      <w:rFonts w:ascii="Arial" w:hAnsi="Arial" w:eastAsia="Arial" w:cs="Arial"/>
      <w:i/>
      <w:iCs/>
      <w:color w:val="auto"/>
      <w:kern w:val="0"/>
      <w:sz w:val="22"/>
      <w:szCs w:val="22"/>
      <w:lang w:val="ru-RU" w:eastAsia="zh-CN" w:bidi="ar-SA"/>
    </w:rPr>
  </w:style>
  <w:style w:type="paragraph" w:styleId="Heading9">
    <w:name w:val="heading 9"/>
    <w:link w:val="9"/>
    <w:uiPriority w:val="9"/>
    <w:unhideWhenUsed/>
    <w:qFormat/>
    <w:pPr>
      <w:keepNext w:val="true"/>
      <w:keepLines/>
      <w:widowControl/>
      <w:suppressAutoHyphens w:val="true"/>
      <w:bidi w:val="0"/>
      <w:spacing w:before="320" w:after="200"/>
      <w:jc w:val="left"/>
      <w:outlineLvl w:val="8"/>
    </w:pPr>
    <w:rPr>
      <w:rFonts w:ascii="Arial" w:hAnsi="Arial" w:eastAsia="Arial" w:cs="Arial"/>
      <w:i/>
      <w:iCs/>
      <w:color w:val="auto"/>
      <w:kern w:val="0"/>
      <w:sz w:val="21"/>
      <w:szCs w:val="21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1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11"/>
    <w:qFormat/>
    <w:rPr>
      <w:sz w:val="24"/>
      <w:szCs w:val="24"/>
    </w:rPr>
  </w:style>
  <w:style w:type="character" w:styleId="QuoteChar" w:customStyle="1">
    <w:name w:val="Quote Char"/>
    <w:uiPriority w:val="29"/>
    <w:qFormat/>
    <w:rPr>
      <w:i/>
    </w:rPr>
  </w:style>
  <w:style w:type="character" w:styleId="IntenseQuoteChar" w:customStyle="1">
    <w:name w:val="Intense Quote Char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Style5" w:customStyle="1">
    <w:name w:val="Название объекта Знак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EndnoteTextChar" w:customStyle="1">
    <w:name w:val="Endnote Text Char"/>
    <w:uiPriority w:val="99"/>
    <w:qFormat/>
    <w:rPr>
      <w:sz w:val="20"/>
    </w:rPr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6" w:customStyle="1">
    <w:name w:val="Название Знак"/>
    <w:uiPriority w:val="10"/>
    <w:qFormat/>
    <w:rPr>
      <w:sz w:val="48"/>
      <w:szCs w:val="48"/>
    </w:rPr>
  </w:style>
  <w:style w:type="character" w:styleId="Style7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8" w:customStyle="1">
    <w:name w:val="Выделенная цитата Знак"/>
    <w:link w:val="IntenseQuote"/>
    <w:uiPriority w:val="30"/>
    <w:qFormat/>
    <w:rPr>
      <w:i/>
    </w:rPr>
  </w:style>
  <w:style w:type="character" w:styleId="Style9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11" w:customStyle="1">
    <w:name w:val="Нижний колонтитул Знак1"/>
    <w:uiPriority w:val="99"/>
    <w:qFormat/>
    <w:rPr/>
  </w:style>
  <w:style w:type="character" w:styleId="Hyperlink">
    <w:name w:val="Hyperlink"/>
    <w:rPr>
      <w:color w:val="000080"/>
      <w:u w:val="single"/>
      <w:lang w:val="en-US" w:bidi="en-US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 w:customStyle="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41" w:customStyle="1">
    <w:name w:val="Основной шрифт абзаца4"/>
    <w:qFormat/>
    <w:rPr/>
  </w:style>
  <w:style w:type="character" w:styleId="31" w:customStyle="1">
    <w:name w:val="Основной шрифт абзаца3"/>
    <w:qFormat/>
    <w:rPr/>
  </w:style>
  <w:style w:type="character" w:styleId="22" w:customStyle="1">
    <w:name w:val="Основной шрифт абзаца2"/>
    <w:qFormat/>
    <w:rPr/>
  </w:style>
  <w:style w:type="character" w:styleId="12" w:customStyle="1">
    <w:name w:val="Основной шрифт абзаца1"/>
    <w:qFormat/>
    <w:rPr/>
  </w:style>
  <w:style w:type="character" w:styleId="PageNumber">
    <w:name w:val="page number"/>
    <w:basedOn w:val="12"/>
    <w:rPr/>
  </w:style>
  <w:style w:type="character" w:styleId="Style14" w:customStyle="1">
    <w:name w:val="Нижний колонтитул Знак"/>
    <w:qFormat/>
    <w:rPr>
      <w:sz w:val="24"/>
      <w:szCs w:val="24"/>
    </w:rPr>
  </w:style>
  <w:style w:type="character" w:styleId="Style15" w:customStyle="1">
    <w:name w:val="Основной текст_"/>
    <w:qFormat/>
    <w:rPr>
      <w:sz w:val="26"/>
      <w:szCs w:val="26"/>
      <w:lang w:bidi="ar-SA"/>
    </w:rPr>
  </w:style>
  <w:style w:type="paragraph" w:styleId="Style16" w:customStyle="1">
    <w:name w:val="Заголовок"/>
    <w:basedOn w:val="Normal"/>
    <w:next w:val="13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13"/>
    <w:pPr/>
    <w:rPr/>
  </w:style>
  <w:style w:type="paragraph" w:styleId="Caption">
    <w:name w:val="caption"/>
    <w:basedOn w:val="Normal"/>
    <w:link w:val="Style5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3" w:customStyle="1">
    <w:name w:val="Основной текст1"/>
    <w:qFormat/>
    <w:pPr>
      <w:widowControl/>
      <w:suppressAutoHyphens w:val="true"/>
      <w:bidi w:val="0"/>
      <w:spacing w:before="0" w:after="0"/>
      <w:jc w:val="left"/>
    </w:pPr>
    <w:rPr>
      <w:rFonts w:eastAsia="Times New Roman" w:cs="Times New Roman" w:ascii="Times New Roman" w:hAnsi="Times New Roman"/>
      <w:color w:val="auto"/>
      <w:kern w:val="0"/>
      <w:sz w:val="28"/>
      <w:szCs w:val="20"/>
      <w:lang w:eastAsia="ru-RU" w:val="ru-RU" w:bidi="ar-SA"/>
    </w:rPr>
  </w:style>
  <w:style w:type="paragraph" w:styleId="IndexHeading">
    <w:name w:val="index heading"/>
    <w:basedOn w:val="Style16"/>
    <w:pPr/>
    <w:rPr/>
  </w:style>
  <w:style w:type="paragraph" w:styleId="ListParagraph">
    <w:name w:val="List Paragraph"/>
    <w:uiPriority w:val="34"/>
    <w:qFormat/>
    <w:pPr>
      <w:widowControl/>
      <w:suppressAutoHyphens w:val="true"/>
      <w:bidi w:val="0"/>
      <w:spacing w:before="0" w:after="0"/>
      <w:ind w:left="720"/>
      <w:contextualSpacing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link w:val="Style6"/>
    <w:uiPriority w:val="10"/>
    <w:qFormat/>
    <w:pPr>
      <w:widowControl/>
      <w:suppressAutoHyphens w:val="true"/>
      <w:bidi w:val="0"/>
      <w:spacing w:before="300" w:after="200"/>
      <w:contextualSpacing/>
      <w:jc w:val="left"/>
    </w:pPr>
    <w:rPr>
      <w:rFonts w:ascii="Times New Roman" w:hAnsi="Times New Roman" w:eastAsia="Tahoma" w:cs="Droid Sans"/>
      <w:color w:val="auto"/>
      <w:kern w:val="0"/>
      <w:sz w:val="48"/>
      <w:szCs w:val="48"/>
      <w:lang w:val="ru-RU" w:eastAsia="zh-CN" w:bidi="ar-SA"/>
    </w:rPr>
  </w:style>
  <w:style w:type="paragraph" w:styleId="Subtitle">
    <w:name w:val="Subtitle"/>
    <w:link w:val="Style7"/>
    <w:uiPriority w:val="11"/>
    <w:qFormat/>
    <w:pPr>
      <w:widowControl/>
      <w:suppressAutoHyphens w:val="true"/>
      <w:bidi w:val="0"/>
      <w:spacing w:before="200" w:after="200"/>
      <w:jc w:val="left"/>
    </w:pPr>
    <w:rPr>
      <w:rFonts w:ascii="Times New Roman" w:hAnsi="Times New Roman" w:eastAsia="Tahoma" w:cs="Droid Sans"/>
      <w:color w:val="auto"/>
      <w:kern w:val="0"/>
      <w:sz w:val="24"/>
      <w:szCs w:val="24"/>
      <w:lang w:val="ru-RU" w:eastAsia="zh-CN" w:bidi="ar-SA"/>
    </w:rPr>
  </w:style>
  <w:style w:type="paragraph" w:styleId="Quote">
    <w:name w:val="Quote"/>
    <w:link w:val="21"/>
    <w:uiPriority w:val="29"/>
    <w:qFormat/>
    <w:pPr>
      <w:widowControl/>
      <w:suppressAutoHyphens w:val="true"/>
      <w:bidi w:val="0"/>
      <w:spacing w:before="0" w:after="0"/>
      <w:ind w:left="720" w:right="720"/>
      <w:jc w:val="left"/>
    </w:pPr>
    <w:rPr>
      <w:rFonts w:ascii="Times New Roman" w:hAnsi="Times New Roman" w:eastAsia="Tahoma" w:cs="Droid Sans"/>
      <w:i/>
      <w:color w:val="auto"/>
      <w:kern w:val="0"/>
      <w:sz w:val="20"/>
      <w:szCs w:val="20"/>
      <w:lang w:val="ru-RU" w:eastAsia="zh-CN" w:bidi="ar-SA"/>
    </w:rPr>
  </w:style>
  <w:style w:type="paragraph" w:styleId="IntenseQuote">
    <w:name w:val="Intense Quote"/>
    <w:link w:val="Style8"/>
    <w:uiPriority w:val="30"/>
    <w:qFormat/>
    <w:pPr>
      <w:widowControl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true"/>
      <w:bidi w:val="0"/>
      <w:spacing w:before="0" w:after="0"/>
      <w:ind w:left="720" w:right="720"/>
      <w:jc w:val="left"/>
    </w:pPr>
    <w:rPr>
      <w:rFonts w:ascii="Times New Roman" w:hAnsi="Times New Roman" w:eastAsia="Tahoma" w:cs="Droid Sans"/>
      <w:i/>
      <w:color w:val="auto"/>
      <w:kern w:val="0"/>
      <w:sz w:val="20"/>
      <w:szCs w:val="20"/>
      <w:lang w:val="ru-RU" w:eastAsia="zh-CN" w:bidi="ar-SA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11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link w:val="Style10"/>
    <w:uiPriority w:val="99"/>
    <w:semiHidden/>
    <w:unhideWhenUsed/>
    <w:pPr>
      <w:widowControl/>
      <w:suppressAutoHyphens w:val="true"/>
      <w:bidi w:val="0"/>
      <w:spacing w:before="0" w:after="40"/>
      <w:jc w:val="left"/>
    </w:pPr>
    <w:rPr>
      <w:rFonts w:ascii="Times New Roman" w:hAnsi="Times New Roman" w:eastAsia="Tahoma" w:cs="Droid Sans"/>
      <w:color w:val="auto"/>
      <w:kern w:val="0"/>
      <w:sz w:val="18"/>
      <w:szCs w:val="20"/>
      <w:lang w:val="ru-RU" w:eastAsia="zh-CN" w:bidi="ar-SA"/>
    </w:rPr>
  </w:style>
  <w:style w:type="paragraph" w:styleId="EndnoteText">
    <w:name w:val="endnote text"/>
    <w:link w:val="Style12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1">
    <w:name w:val="toc 1"/>
    <w:uiPriority w:val="39"/>
    <w:unhideWhenUsed/>
    <w:pPr>
      <w:widowControl/>
      <w:suppressAutoHyphens w:val="true"/>
      <w:bidi w:val="0"/>
      <w:spacing w:before="0" w:after="57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2">
    <w:name w:val="toc 2"/>
    <w:uiPriority w:val="39"/>
    <w:unhideWhenUsed/>
    <w:pPr>
      <w:widowControl/>
      <w:suppressAutoHyphens w:val="true"/>
      <w:bidi w:val="0"/>
      <w:spacing w:before="0" w:after="57"/>
      <w:ind w:left="283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3">
    <w:name w:val="toc 3"/>
    <w:uiPriority w:val="39"/>
    <w:unhideWhenUsed/>
    <w:pPr>
      <w:widowControl/>
      <w:suppressAutoHyphens w:val="true"/>
      <w:bidi w:val="0"/>
      <w:spacing w:before="0" w:after="57"/>
      <w:ind w:left="567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4">
    <w:name w:val="toc 4"/>
    <w:uiPriority w:val="39"/>
    <w:unhideWhenUsed/>
    <w:pPr>
      <w:widowControl/>
      <w:suppressAutoHyphens w:val="true"/>
      <w:bidi w:val="0"/>
      <w:spacing w:before="0" w:after="57"/>
      <w:ind w:left="85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5">
    <w:name w:val="toc 5"/>
    <w:uiPriority w:val="39"/>
    <w:unhideWhenUsed/>
    <w:pPr>
      <w:widowControl/>
      <w:suppressAutoHyphens w:val="true"/>
      <w:bidi w:val="0"/>
      <w:spacing w:before="0" w:after="57"/>
      <w:ind w:left="1134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6">
    <w:name w:val="toc 6"/>
    <w:uiPriority w:val="39"/>
    <w:unhideWhenUsed/>
    <w:pPr>
      <w:widowControl/>
      <w:suppressAutoHyphens w:val="true"/>
      <w:bidi w:val="0"/>
      <w:spacing w:before="0" w:after="57"/>
      <w:ind w:left="1417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7">
    <w:name w:val="toc 7"/>
    <w:uiPriority w:val="39"/>
    <w:unhideWhenUsed/>
    <w:pPr>
      <w:widowControl/>
      <w:suppressAutoHyphens w:val="true"/>
      <w:bidi w:val="0"/>
      <w:spacing w:before="0" w:after="57"/>
      <w:ind w:left="1701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8">
    <w:name w:val="toc 8"/>
    <w:uiPriority w:val="39"/>
    <w:unhideWhenUsed/>
    <w:pPr>
      <w:widowControl/>
      <w:suppressAutoHyphens w:val="true"/>
      <w:bidi w:val="0"/>
      <w:spacing w:before="0" w:after="57"/>
      <w:ind w:left="1984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9">
    <w:name w:val="toc 9"/>
    <w:uiPriority w:val="39"/>
    <w:unhideWhenUsed/>
    <w:pPr>
      <w:widowControl/>
      <w:suppressAutoHyphens w:val="true"/>
      <w:bidi w:val="0"/>
      <w:spacing w:before="0" w:after="57"/>
      <w:ind w:left="2268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uiPriority w:val="99"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Droid Sans"/>
      <w:color w:val="auto"/>
      <w:kern w:val="0"/>
      <w:sz w:val="20"/>
      <w:szCs w:val="20"/>
      <w:lang w:val="ru-RU" w:eastAsia="zh-CN" w:bidi="ar-SA"/>
    </w:rPr>
  </w:style>
  <w:style w:type="paragraph" w:styleId="42" w:customStyle="1">
    <w:name w:val="Указатель4"/>
    <w:basedOn w:val="Normal"/>
    <w:qFormat/>
    <w:pPr>
      <w:suppressLineNumbers/>
    </w:pPr>
    <w:rPr/>
  </w:style>
  <w:style w:type="paragraph" w:styleId="32" w:customStyle="1">
    <w:name w:val="Название объекта3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33" w:customStyle="1">
    <w:name w:val="Указатель3"/>
    <w:basedOn w:val="Normal"/>
    <w:qFormat/>
    <w:pPr>
      <w:suppressLineNumbers/>
    </w:pPr>
    <w:rPr/>
  </w:style>
  <w:style w:type="paragraph" w:styleId="23" w:customStyle="1">
    <w:name w:val="Название объекта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24" w:customStyle="1">
    <w:name w:val="Указатель2"/>
    <w:basedOn w:val="Normal"/>
    <w:qFormat/>
    <w:pPr>
      <w:suppressLineNumbers/>
    </w:pPr>
    <w:rPr/>
  </w:style>
  <w:style w:type="paragraph" w:styleId="14" w:customStyle="1">
    <w:name w:val="Название объекта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5" w:customStyle="1">
    <w:name w:val="Указатель1"/>
    <w:basedOn w:val="Normal"/>
    <w:qFormat/>
    <w:pPr>
      <w:suppressLineNumbers/>
    </w:pPr>
    <w:rPr/>
  </w:style>
  <w:style w:type="paragraph" w:styleId="BalloonText">
    <w:name w:val="Balloon Text"/>
    <w:basedOn w:val="Normal"/>
    <w:qFormat/>
    <w:pPr/>
    <w:rPr>
      <w:rFonts w:ascii="Tahoma" w:hAnsi="Tahoma"/>
      <w:sz w:val="16"/>
      <w:szCs w:val="16"/>
    </w:rPr>
  </w:style>
  <w:style w:type="paragraph" w:styleId="Style18" w:customStyle="1">
    <w:name w:val="Содержимое врезки"/>
    <w:basedOn w:val="Normal"/>
    <w:qFormat/>
    <w:pPr/>
    <w:rPr/>
  </w:style>
  <w:style w:type="paragraph" w:styleId="211" w:customStyle="1">
    <w:name w:val="Основной текст с отступом 21"/>
    <w:qFormat/>
    <w:pPr>
      <w:widowControl/>
      <w:suppressAutoHyphens w:val="true"/>
      <w:bidi w:val="0"/>
      <w:spacing w:lineRule="auto" w:line="480" w:before="0" w:after="120"/>
      <w:ind w:left="283"/>
      <w:jc w:val="left"/>
    </w:pPr>
    <w:rPr>
      <w:rFonts w:eastAsia="Times New Roman" w:cs="Times New Roman" w:ascii="Times New Roman" w:hAnsi="Times New Roman"/>
      <w:color w:val="auto"/>
      <w:kern w:val="0"/>
      <w:sz w:val="24"/>
      <w:szCs w:val="24"/>
      <w:lang w:val="ru-RU" w:eastAsia="zh-CN" w:bidi="ar-SA"/>
    </w:rPr>
  </w:style>
  <w:style w:type="numbering" w:styleId="Style19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">
    <w:name w:val="Таблица простая 2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  <w:tcPr>
        <w:shd w:val="clear" w:color="F2F2F2" w:fill="auto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  <w:tcPr>
        <w:shd w:val="clear" w:color="F2F2F2" w:fill="auto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auto"/>
      </w:tcPr>
    </w:tblStylePr>
    <w:tblStylePr w:type="band1Horz">
      <w:rPr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auto"/>
      </w:tcPr>
    </w:tblStylePr>
    <w:tblStylePr w:type="band1Horz">
      <w:rPr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auto"/>
      </w:tcPr>
    </w:tblStylePr>
    <w:tblStylePr w:type="band1Horz">
      <w:rPr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auto"/>
      </w:tcPr>
    </w:tblStylePr>
    <w:tblStylePr w:type="band1Horz">
      <w:rPr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auto"/>
      </w:tcPr>
    </w:tblStylePr>
    <w:tblStylePr w:type="band1Horz">
      <w:rPr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auto"/>
      </w:tcPr>
    </w:tblStylePr>
    <w:tblStylePr w:type="band1Horz">
      <w:rPr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auto"/>
      </w:tcPr>
    </w:tblStylePr>
    <w:tblStylePr w:type="firstCol">
      <w:rPr>
        <w:b/>
        <w:sz w:val="22"/>
      </w:rPr>
      <w:tblPr/>
      <w:tcPr>
        <w:shd w:val="clear" w:color="000000" w:fill="auto"/>
      </w:tcPr>
    </w:tblStylePr>
    <w:tblStylePr w:type="lastCol">
      <w:rPr>
        <w:b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auto"/>
      </w:tcPr>
    </w:tblStylePr>
    <w:tblStylePr w:type="firstCol">
      <w:rPr>
        <w:b/>
        <w:sz w:val="22"/>
      </w:rPr>
      <w:tblPr/>
      <w:tcPr>
        <w:shd w:val="clear" w:color="4F81BD" w:fill="auto"/>
      </w:tcPr>
    </w:tblStylePr>
    <w:tblStylePr w:type="lastCol">
      <w:rPr>
        <w:b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auto"/>
      </w:tcPr>
    </w:tblStylePr>
    <w:tblStylePr w:type="firstCol">
      <w:rPr>
        <w:b/>
        <w:sz w:val="22"/>
      </w:rPr>
      <w:tblPr/>
      <w:tcPr>
        <w:shd w:val="clear" w:color="C0504D" w:fill="auto"/>
      </w:tcPr>
    </w:tblStylePr>
    <w:tblStylePr w:type="lastCol">
      <w:rPr>
        <w:b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auto"/>
      </w:tcPr>
    </w:tblStylePr>
    <w:tblStylePr w:type="firstCol">
      <w:rPr>
        <w:b/>
        <w:sz w:val="22"/>
      </w:rPr>
      <w:tblPr/>
      <w:tcPr>
        <w:shd w:val="clear" w:color="9BBB59" w:fill="auto"/>
      </w:tcPr>
    </w:tblStylePr>
    <w:tblStylePr w:type="lastCol">
      <w:rPr>
        <w:b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auto"/>
      </w:tcPr>
    </w:tblStylePr>
    <w:tblStylePr w:type="firstCol">
      <w:rPr>
        <w:b/>
        <w:sz w:val="22"/>
      </w:rPr>
      <w:tblPr/>
      <w:tcPr>
        <w:shd w:val="clear" w:color="8064A2" w:fill="auto"/>
      </w:tcPr>
    </w:tblStylePr>
    <w:tblStylePr w:type="lastCol">
      <w:rPr>
        <w:b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auto"/>
      </w:tcPr>
    </w:tblStylePr>
    <w:tblStylePr w:type="firstCol">
      <w:rPr>
        <w:b/>
        <w:sz w:val="22"/>
      </w:rPr>
      <w:tblPr/>
      <w:tcPr>
        <w:shd w:val="clear" w:color="4BACC6" w:fill="auto"/>
      </w:tcPr>
    </w:tblStylePr>
    <w:tblStylePr w:type="lastCol">
      <w:rPr>
        <w:b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auto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auto"/>
      </w:tcPr>
    </w:tblStylePr>
    <w:tblStylePr w:type="firstCol">
      <w:rPr>
        <w:b/>
        <w:sz w:val="22"/>
      </w:rPr>
      <w:tblPr/>
      <w:tcPr>
        <w:shd w:val="clear" w:color="F79646" w:fill="auto"/>
      </w:tcPr>
    </w:tblStylePr>
    <w:tblStylePr w:type="lastCol">
      <w:rPr>
        <w:b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auto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auto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auto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auto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auto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auto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auto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auto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auto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auto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auto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auto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auto"/>
      </w:tcPr>
    </w:tblStylePr>
    <w:tblStylePr w:type="band1Horz">
      <w:rPr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auto"/>
      </w:tcPr>
    </w:tblStylePr>
    <w:tblStylePr w:type="band1Horz">
      <w:rPr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auto"/>
      </w:tcPr>
    </w:tblStylePr>
    <w:tblStylePr w:type="band1Horz">
      <w:rPr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auto"/>
      </w:tcPr>
    </w:tblStylePr>
    <w:tblStylePr w:type="band1Horz">
      <w:rPr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auto"/>
      </w:tcPr>
    </w:tblStylePr>
    <w:tblStylePr w:type="band1Horz">
      <w:rPr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auto"/>
      </w:tcPr>
    </w:tblStylePr>
    <w:tblStylePr w:type="band1Horz">
      <w:rPr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auto"/>
      </w:tcPr>
    </w:tblStylePr>
    <w:tblStylePr w:type="band1Horz">
      <w:rPr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auto"/>
      </w:tcPr>
    </w:tblStylePr>
    <w:tblStylePr w:type="band1Horz">
      <w:rPr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auto"/>
      </w:tcPr>
    </w:tblStylePr>
    <w:tblStylePr w:type="band1Horz">
      <w:rPr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auto"/>
      </w:tcPr>
    </w:tblStylePr>
    <w:tblStylePr w:type="band1Horz">
      <w:rPr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auto"/>
      </w:tcPr>
    </w:tblStylePr>
    <w:tblStylePr w:type="band1Horz">
      <w:rPr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auto"/>
      </w:tcPr>
    </w:tblStylePr>
    <w:tblStylePr w:type="band1Horz">
      <w:rPr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auto"/>
      </w:tcPr>
    </w:tblStylePr>
    <w:tblStylePr w:type="band1Horz">
      <w:rPr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auto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auto"/>
      </w:tcPr>
    </w:tblStylePr>
    <w:tblStylePr w:type="band1Horz">
      <w:rPr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auto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auto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auto"/>
      </w:tcPr>
    </w:tblStylePr>
    <w:tblStylePr w:type="band1Horz">
      <w:rPr>
        <w:color w:themeColor="text1"/>
        <w:sz w:val="22"/>
      </w:rPr>
      <w:tblPr/>
      <w:tcPr>
        <w:shd w:val="clear" w:color="BFBFBF" w:fill="auto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auto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auto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auto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auto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auto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auto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auto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auto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auto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auto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auto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auto"/>
      </w:tcPr>
    </w:tblStylePr>
    <w:tblStylePr w:type="lastRow">
      <w:rPr>
        <w:sz w:val="22"/>
      </w:rPr>
      <w:tblPr/>
      <w:tcPr>
        <w:shd w:val="clear" w:color="7F7F7F" w:fill="auto"/>
      </w:tcPr>
    </w:tblStylePr>
    <w:tblStylePr w:type="firstCol">
      <w:rPr>
        <w:sz w:val="22"/>
      </w:rPr>
      <w:tblPr/>
      <w:tcPr>
        <w:shd w:val="clear" w:color="7F7F7F" w:fill="auto"/>
      </w:tcPr>
    </w:tblStylePr>
    <w:tblStylePr w:type="lastCol">
      <w:rPr>
        <w:sz w:val="22"/>
      </w:rPr>
      <w:tblPr/>
      <w:tcPr>
        <w:shd w:val="clear" w:color="7F7F7F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auto"/>
      </w:tcPr>
    </w:tblStylePr>
    <w:tblStylePr w:type="lastRow">
      <w:rPr>
        <w:sz w:val="22"/>
      </w:rPr>
      <w:tblPr/>
      <w:tcPr>
        <w:shd w:val="clear" w:color="5D8AC2" w:fill="auto"/>
      </w:tcPr>
    </w:tblStylePr>
    <w:tblStylePr w:type="firstCol">
      <w:rPr>
        <w:sz w:val="22"/>
      </w:rPr>
      <w:tblPr/>
      <w:tcPr>
        <w:shd w:val="clear" w:color="5D8AC2" w:fill="auto"/>
      </w:tcPr>
    </w:tblStylePr>
    <w:tblStylePr w:type="lastCol">
      <w:rPr>
        <w:sz w:val="22"/>
      </w:rPr>
      <w:tblPr/>
      <w:tcPr>
        <w:shd w:val="clear" w:color="5D8AC2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auto"/>
      </w:tcPr>
    </w:tblStylePr>
    <w:tblStylePr w:type="lastRow">
      <w:rPr>
        <w:sz w:val="22"/>
      </w:rPr>
      <w:tblPr/>
      <w:tcPr>
        <w:shd w:val="clear" w:color="D99695" w:fill="auto"/>
      </w:tcPr>
    </w:tblStylePr>
    <w:tblStylePr w:type="firstCol">
      <w:rPr>
        <w:sz w:val="22"/>
      </w:rPr>
      <w:tblPr/>
      <w:tcPr>
        <w:shd w:val="clear" w:color="D99695" w:fill="auto"/>
      </w:tcPr>
    </w:tblStylePr>
    <w:tblStylePr w:type="lastCol">
      <w:rPr>
        <w:sz w:val="22"/>
      </w:rPr>
      <w:tblPr/>
      <w:tcPr>
        <w:shd w:val="clear" w:color="D99695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uto"/>
      </w:tcPr>
    </w:tblStylePr>
    <w:tblStylePr w:type="lastRow">
      <w:rPr>
        <w:sz w:val="22"/>
      </w:rPr>
      <w:tblPr/>
      <w:tcPr>
        <w:shd w:val="clear" w:color="9ABB59" w:fill="auto"/>
      </w:tcPr>
    </w:tblStylePr>
    <w:tblStylePr w:type="firstCol">
      <w:rPr>
        <w:sz w:val="22"/>
      </w:rPr>
      <w:tblPr/>
      <w:tcPr>
        <w:shd w:val="clear" w:color="9ABB59" w:fill="auto"/>
      </w:tcPr>
    </w:tblStylePr>
    <w:tblStylePr w:type="lastCol">
      <w:rPr>
        <w:sz w:val="22"/>
      </w:rPr>
      <w:tblPr/>
      <w:tcPr>
        <w:shd w:val="clear" w:color="9ABB59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auto"/>
      </w:tcPr>
    </w:tblStylePr>
    <w:tblStylePr w:type="lastRow">
      <w:rPr>
        <w:sz w:val="22"/>
      </w:rPr>
      <w:tblPr/>
      <w:tcPr>
        <w:shd w:val="clear" w:color="B2A1C6" w:fill="auto"/>
      </w:tcPr>
    </w:tblStylePr>
    <w:tblStylePr w:type="firstCol">
      <w:rPr>
        <w:sz w:val="22"/>
      </w:rPr>
      <w:tblPr/>
      <w:tcPr>
        <w:shd w:val="clear" w:color="B2A1C6" w:fill="auto"/>
      </w:tcPr>
    </w:tblStylePr>
    <w:tblStylePr w:type="lastCol">
      <w:rPr>
        <w:sz w:val="22"/>
      </w:rPr>
      <w:tblPr/>
      <w:tcPr>
        <w:shd w:val="clear" w:color="B2A1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auto"/>
      </w:tcPr>
    </w:tblStylePr>
    <w:tblStylePr w:type="lastRow">
      <w:rPr>
        <w:sz w:val="22"/>
      </w:rPr>
      <w:tblPr/>
      <w:tcPr>
        <w:shd w:val="clear" w:color="4BACC6" w:fill="auto"/>
      </w:tcPr>
    </w:tblStylePr>
    <w:tblStylePr w:type="firstCol">
      <w:rPr>
        <w:sz w:val="22"/>
      </w:rPr>
      <w:tblPr/>
      <w:tcPr>
        <w:shd w:val="clear" w:color="4BACC6" w:fill="auto"/>
      </w:tcPr>
    </w:tblStylePr>
    <w:tblStylePr w:type="lastCol">
      <w:rPr>
        <w:sz w:val="22"/>
      </w:rPr>
      <w:tblPr/>
      <w:tcPr>
        <w:shd w:val="clear" w:color="4BAC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auto"/>
      </w:tcPr>
    </w:tblStylePr>
    <w:tblStylePr w:type="lastRow">
      <w:rPr>
        <w:sz w:val="22"/>
      </w:rPr>
      <w:tblPr/>
      <w:tcPr>
        <w:shd w:val="clear" w:color="F79646" w:fill="auto"/>
      </w:tcPr>
    </w:tblStylePr>
    <w:tblStylePr w:type="firstCol">
      <w:rPr>
        <w:sz w:val="22"/>
      </w:rPr>
      <w:tblPr/>
      <w:tcPr>
        <w:shd w:val="clear" w:color="F79646" w:fill="auto"/>
      </w:tcPr>
    </w:tblStylePr>
    <w:tblStylePr w:type="lastCol">
      <w:rPr>
        <w:sz w:val="22"/>
      </w:rPr>
      <w:tblPr/>
      <w:tcPr>
        <w:shd w:val="clear" w:color="F7964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auto"/>
      </w:tcPr>
    </w:tblStylePr>
    <w:tblStylePr w:type="lastRow">
      <w:rPr>
        <w:sz w:val="22"/>
      </w:rPr>
      <w:tblPr/>
      <w:tcPr>
        <w:shd w:val="clear" w:color="7F7F7F" w:fill="auto"/>
      </w:tcPr>
    </w:tblStylePr>
    <w:tblStylePr w:type="firstCol">
      <w:rPr>
        <w:sz w:val="22"/>
      </w:rPr>
      <w:tblPr/>
      <w:tcPr>
        <w:shd w:val="clear" w:color="7F7F7F" w:fill="auto"/>
      </w:tcPr>
    </w:tblStylePr>
    <w:tblStylePr w:type="lastCol">
      <w:rPr>
        <w:sz w:val="22"/>
      </w:rPr>
      <w:tblPr/>
      <w:tcPr>
        <w:shd w:val="clear" w:color="7F7F7F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auto"/>
      </w:tcPr>
    </w:tblStylePr>
    <w:tblStylePr w:type="lastRow">
      <w:rPr>
        <w:sz w:val="22"/>
      </w:rPr>
      <w:tblPr/>
      <w:tcPr>
        <w:shd w:val="clear" w:color="5D8AC2" w:fill="auto"/>
      </w:tcPr>
    </w:tblStylePr>
    <w:tblStylePr w:type="firstCol">
      <w:rPr>
        <w:sz w:val="22"/>
      </w:rPr>
      <w:tblPr/>
      <w:tcPr>
        <w:shd w:val="clear" w:color="5D8AC2" w:fill="auto"/>
      </w:tcPr>
    </w:tblStylePr>
    <w:tblStylePr w:type="lastCol">
      <w:rPr>
        <w:sz w:val="22"/>
      </w:rPr>
      <w:tblPr/>
      <w:tcPr>
        <w:shd w:val="clear" w:color="5D8AC2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auto"/>
      </w:tcPr>
    </w:tblStylePr>
    <w:tblStylePr w:type="lastRow">
      <w:rPr>
        <w:sz w:val="22"/>
      </w:rPr>
      <w:tblPr/>
      <w:tcPr>
        <w:shd w:val="clear" w:color="D99695" w:fill="auto"/>
      </w:tcPr>
    </w:tblStylePr>
    <w:tblStylePr w:type="firstCol">
      <w:rPr>
        <w:sz w:val="22"/>
      </w:rPr>
      <w:tblPr/>
      <w:tcPr>
        <w:shd w:val="clear" w:color="D99695" w:fill="auto"/>
      </w:tcPr>
    </w:tblStylePr>
    <w:tblStylePr w:type="lastCol">
      <w:rPr>
        <w:sz w:val="22"/>
      </w:rPr>
      <w:tblPr/>
      <w:tcPr>
        <w:shd w:val="clear" w:color="D99695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uto"/>
      </w:tcPr>
    </w:tblStylePr>
    <w:tblStylePr w:type="lastRow">
      <w:rPr>
        <w:sz w:val="22"/>
      </w:rPr>
      <w:tblPr/>
      <w:tcPr>
        <w:shd w:val="clear" w:color="9ABB59" w:fill="auto"/>
      </w:tcPr>
    </w:tblStylePr>
    <w:tblStylePr w:type="firstCol">
      <w:rPr>
        <w:sz w:val="22"/>
      </w:rPr>
      <w:tblPr/>
      <w:tcPr>
        <w:shd w:val="clear" w:color="9ABB59" w:fill="auto"/>
      </w:tcPr>
    </w:tblStylePr>
    <w:tblStylePr w:type="lastCol">
      <w:rPr>
        <w:sz w:val="22"/>
      </w:rPr>
      <w:tblPr/>
      <w:tcPr>
        <w:shd w:val="clear" w:color="9ABB59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auto"/>
      </w:tcPr>
    </w:tblStylePr>
    <w:tblStylePr w:type="lastRow">
      <w:rPr>
        <w:sz w:val="22"/>
      </w:rPr>
      <w:tblPr/>
      <w:tcPr>
        <w:shd w:val="clear" w:color="B2A1C6" w:fill="auto"/>
      </w:tcPr>
    </w:tblStylePr>
    <w:tblStylePr w:type="firstCol">
      <w:rPr>
        <w:sz w:val="22"/>
      </w:rPr>
      <w:tblPr/>
      <w:tcPr>
        <w:shd w:val="clear" w:color="B2A1C6" w:fill="auto"/>
      </w:tcPr>
    </w:tblStylePr>
    <w:tblStylePr w:type="lastCol">
      <w:rPr>
        <w:sz w:val="22"/>
      </w:rPr>
      <w:tblPr/>
      <w:tcPr>
        <w:shd w:val="clear" w:color="B2A1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auto"/>
      </w:tcPr>
    </w:tblStylePr>
    <w:tblStylePr w:type="lastRow">
      <w:rPr>
        <w:sz w:val="22"/>
      </w:rPr>
      <w:tblPr/>
      <w:tcPr>
        <w:shd w:val="clear" w:color="4BACC6" w:fill="auto"/>
      </w:tcPr>
    </w:tblStylePr>
    <w:tblStylePr w:type="firstCol">
      <w:rPr>
        <w:sz w:val="22"/>
      </w:rPr>
      <w:tblPr/>
      <w:tcPr>
        <w:shd w:val="clear" w:color="4BACC6" w:fill="auto"/>
      </w:tcPr>
    </w:tblStylePr>
    <w:tblStylePr w:type="lastCol">
      <w:rPr>
        <w:sz w:val="22"/>
      </w:rPr>
      <w:tblPr/>
      <w:tcPr>
        <w:shd w:val="clear" w:color="4BACC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auto"/>
      </w:tcPr>
    </w:tblStylePr>
    <w:tblStylePr w:type="lastRow">
      <w:rPr>
        <w:sz w:val="22"/>
      </w:rPr>
      <w:tblPr/>
      <w:tcPr>
        <w:shd w:val="clear" w:color="F79646" w:fill="auto"/>
      </w:tcPr>
    </w:tblStylePr>
    <w:tblStylePr w:type="firstCol">
      <w:rPr>
        <w:sz w:val="22"/>
      </w:rPr>
      <w:tblPr/>
      <w:tcPr>
        <w:shd w:val="clear" w:color="F79646" w:fill="auto"/>
      </w:tcPr>
    </w:tblStylePr>
    <w:tblStylePr w:type="lastCol">
      <w:rPr>
        <w:sz w:val="22"/>
      </w:rPr>
      <w:tblPr/>
      <w:tcPr>
        <w:shd w:val="clear" w:color="F79646" w:fill="auto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auto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B6C81C80FE718701D7CBF61242694125EACD5999F9C54BDA7EF63EAE6141098A21D6BE13B6418AC4C69368g9z3I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LibreOffice/24.8.4.2$Linux_X86_64 LibreOffice_project/480$Build-2</Application>
  <AppVersion>15.0000</AppVersion>
  <DocSecurity>4</DocSecurity>
  <Pages>2</Pages>
  <Words>388</Words>
  <Characters>2838</Characters>
  <CharactersWithSpaces>3295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2026-10-05T09:11:00Z</dcterms:created>
  <dc:creator>Пенчева Ирина Владимировна</dc:creator>
  <dc:description/>
  <dc:language>ru-RU</dc:language>
  <cp:lastModifiedBy/>
  <cp:lastPrinted>2026-10-05T14:13:28Z</cp:lastPrinted>
  <dcterms:modified xsi:type="dcterms:W3CDTF">2026-10-05T14:14:12Z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