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8"/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ПРОЕКТ РЕШЕНИЯ</w:t>
      </w: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93"/>
        <w:ind w:right="4315"/>
        <w:rPr>
          <w:rFonts w:ascii="Times New Roman" w:hAnsi="Times New Roman"/>
          <w:b w:val="false"/>
          <w:sz w:val="27"/>
          <w:szCs w:val="27"/>
        </w:rPr>
      </w:pPr>
      <w:r>
        <w:rPr>
          <w:rFonts w:ascii="Times New Roman" w:hAnsi="Times New Roman"/>
          <w:b w:val="false"/>
          <w:sz w:val="27"/>
          <w:szCs w:val="27"/>
        </w:rPr>
        <w:t xml:space="preserve">О внесении изменений </w:t>
      </w:r>
      <w:r>
        <w:rPr>
          <w:rFonts w:ascii="Times New Roman" w:hAnsi="Times New Roman"/>
          <w:b w:val="false"/>
          <w:sz w:val="27"/>
          <w:szCs w:val="27"/>
        </w:rPr>
        <w:t xml:space="preserve">в решение Собрания депутатов Копейского городского округа от 03.07.2020 № 897-МО «Об утверждении Правил благоустройства</w:t>
      </w:r>
      <w:r>
        <w:rPr>
          <w:rFonts w:ascii="Times New Roman" w:hAnsi="Times New Roman"/>
          <w:b w:val="false"/>
          <w:sz w:val="27"/>
          <w:szCs w:val="27"/>
        </w:rPr>
        <w:t xml:space="preserve"> территории </w:t>
      </w:r>
      <w:r>
        <w:rPr>
          <w:rFonts w:ascii="Times New Roman" w:hAnsi="Times New Roman"/>
          <w:b w:val="false"/>
          <w:sz w:val="27"/>
          <w:szCs w:val="27"/>
        </w:rPr>
        <w:t xml:space="preserve">Копейского городского округа</w:t>
      </w:r>
      <w:r>
        <w:rPr>
          <w:rFonts w:ascii="Times New Roman" w:hAnsi="Times New Roman"/>
          <w:b w:val="false"/>
          <w:sz w:val="27"/>
          <w:szCs w:val="27"/>
        </w:rPr>
      </w:r>
      <w:r/>
    </w:p>
    <w:p>
      <w:pPr>
        <w:pStyle w:val="69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  <w:r/>
    </w:p>
    <w:p>
      <w:pPr>
        <w:pStyle w:val="69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  <w:r/>
    </w:p>
    <w:p>
      <w:pPr>
        <w:pStyle w:val="692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</w:t>
      </w:r>
      <w:r>
        <w:rPr>
          <w:rFonts w:ascii="Times New Roman" w:hAnsi="Times New Roman"/>
          <w:sz w:val="27"/>
          <w:szCs w:val="27"/>
        </w:rPr>
        <w:t xml:space="preserve">соответствии с</w:t>
      </w:r>
      <w:r>
        <w:rPr>
          <w:rFonts w:ascii="Times New Roman" w:hAnsi="Times New Roman"/>
          <w:sz w:val="27"/>
          <w:szCs w:val="27"/>
        </w:rPr>
        <w:t xml:space="preserve"> Федеральным</w:t>
      </w:r>
      <w:r>
        <w:rPr>
          <w:rFonts w:ascii="Times New Roman" w:hAnsi="Times New Roman"/>
          <w:sz w:val="27"/>
          <w:szCs w:val="27"/>
        </w:rPr>
        <w:t xml:space="preserve">и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HYPERLINK "consultantplus://offline/ref=7E9D8B6B950FF31C9B3A0C3DC40BE3B1FF710D5C3921B0AE95B4453C152734AD281AD68A2E99F02501F29AFB18O5O3I"</w:instrText>
      </w:r>
      <w:r>
        <w:rPr>
          <w:sz w:val="27"/>
          <w:szCs w:val="27"/>
        </w:rPr>
        <w:fldChar w:fldCharType="separate"/>
      </w:r>
      <w:r>
        <w:rPr>
          <w:rFonts w:ascii="Times New Roman" w:hAnsi="Times New Roman"/>
          <w:sz w:val="27"/>
          <w:szCs w:val="27"/>
        </w:rPr>
        <w:t xml:space="preserve">закона</w:t>
      </w:r>
      <w:r>
        <w:rPr>
          <w:rFonts w:ascii="Times New Roman" w:hAnsi="Times New Roman"/>
          <w:sz w:val="27"/>
          <w:szCs w:val="27"/>
        </w:rPr>
        <w:t xml:space="preserve">м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и</w:t>
      </w:r>
      <w:r>
        <w:rPr>
          <w:rFonts w:ascii="Times New Roman" w:hAnsi="Times New Roman"/>
          <w:sz w:val="27"/>
          <w:szCs w:val="27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7"/>
          <w:szCs w:val="27"/>
        </w:rPr>
        <w:t xml:space="preserve">от 28 декабря 2009 № 381-ФЗ «Об основах государственного регулирования торговой деятельности в Российской Федерации»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Собрание депутатов Копейского городского округа Челябинской области</w:t>
      </w:r>
      <w:r/>
    </w:p>
    <w:p>
      <w:pPr>
        <w:pStyle w:val="692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РЕШАЕТ:</w:t>
      </w:r>
      <w:r/>
    </w:p>
    <w:p>
      <w:pPr>
        <w:pStyle w:val="687"/>
        <w:numPr>
          <w:ilvl w:val="0"/>
          <w:numId w:val="3"/>
        </w:numPr>
        <w:jc w:val="both"/>
        <w:spacing w:lineRule="auto" w:line="240" w:after="0"/>
        <w:shd w:val="clear" w:fill="FFFFFF" w:color="FFFFFF"/>
        <w:widowControl w:val="off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Внести в </w:t>
      </w:r>
      <w:r>
        <w:rPr>
          <w:rFonts w:ascii="Times New Roman" w:hAnsi="Times New Roman"/>
          <w:sz w:val="27"/>
          <w:szCs w:val="27"/>
        </w:rPr>
        <w:t xml:space="preserve">приложение к решению </w:t>
      </w:r>
      <w:r>
        <w:rPr>
          <w:rFonts w:ascii="Times New Roman" w:hAnsi="Times New Roman"/>
          <w:sz w:val="27"/>
          <w:szCs w:val="27"/>
        </w:rPr>
        <w:t xml:space="preserve">Собрания депутатов Копейского г</w:t>
      </w:r>
      <w:r>
        <w:rPr>
          <w:rFonts w:ascii="Times New Roman" w:hAnsi="Times New Roman"/>
          <w:sz w:val="27"/>
          <w:szCs w:val="27"/>
        </w:rPr>
        <w:t xml:space="preserve">ородского округа Челябинской области от 03.07.2020 № 897-МО «Об утверждении Правил благоустройства территории Копейского городского округа» </w:t>
      </w:r>
      <w:r>
        <w:rPr>
          <w:rFonts w:ascii="Times New Roman" w:hAnsi="Times New Roman"/>
          <w:sz w:val="27"/>
          <w:szCs w:val="27"/>
        </w:rPr>
        <w:t xml:space="preserve">следующие изменения:</w:t>
      </w:r>
      <w:r/>
    </w:p>
    <w:p>
      <w:pPr>
        <w:pStyle w:val="692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1)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г</w:t>
      </w:r>
      <w:r>
        <w:rPr>
          <w:rFonts w:ascii="Times New Roman" w:hAnsi="Times New Roman"/>
          <w:sz w:val="27"/>
          <w:szCs w:val="27"/>
        </w:rPr>
        <w:t xml:space="preserve">лаву </w:t>
      </w:r>
      <w:r>
        <w:rPr>
          <w:rFonts w:ascii="Times New Roman" w:hAnsi="Times New Roman"/>
          <w:sz w:val="27"/>
          <w:szCs w:val="27"/>
          <w:lang w:val="en-US"/>
        </w:rPr>
        <w:t xml:space="preserve">I</w:t>
      </w:r>
      <w:r>
        <w:rPr>
          <w:rFonts w:ascii="Times New Roman" w:hAnsi="Times New Roman"/>
          <w:sz w:val="27"/>
          <w:szCs w:val="27"/>
        </w:rPr>
        <w:t xml:space="preserve">I</w:t>
      </w:r>
      <w:r>
        <w:rPr>
          <w:rFonts w:ascii="Times New Roman" w:hAnsi="Times New Roman"/>
          <w:sz w:val="27"/>
          <w:szCs w:val="27"/>
        </w:rPr>
        <w:t xml:space="preserve"> дополнить понятием следующего содержания</w:t>
      </w:r>
      <w:r>
        <w:rPr>
          <w:rFonts w:ascii="Times New Roman" w:hAnsi="Times New Roman"/>
          <w:sz w:val="27"/>
          <w:szCs w:val="27"/>
        </w:rPr>
        <w:t xml:space="preserve">:</w:t>
      </w:r>
      <w:r/>
    </w:p>
    <w:p>
      <w:pPr>
        <w:pStyle w:val="687"/>
        <w:ind w:firstLine="720"/>
        <w:jc w:val="both"/>
        <w:spacing w:lineRule="auto" w:line="240" w:after="0"/>
        <w:rPr>
          <w:rFonts w:ascii="Times New Roman" w:hAnsi="Times New Roman" w:eastAsia="Calibri"/>
          <w:sz w:val="27"/>
          <w:szCs w:val="27"/>
          <w:lang w:eastAsia="ru-RU"/>
        </w:rPr>
      </w:pPr>
      <w:r>
        <w:rPr>
          <w:rFonts w:ascii="Times New Roman" w:hAnsi="Times New Roman" w:eastAsia="Calibri"/>
          <w:sz w:val="27"/>
          <w:szCs w:val="27"/>
          <w:lang w:eastAsia="ru-RU"/>
        </w:rPr>
        <w:t xml:space="preserve">«Развозная торговля – форма мелкорозничной торговли, осуществляемой вне стационарной торговой сети с использованием специализированных или специ</w:t>
      </w:r>
      <w:r>
        <w:rPr>
          <w:rFonts w:ascii="Times New Roman" w:hAnsi="Times New Roman" w:eastAsia="Calibri"/>
          <w:sz w:val="27"/>
          <w:szCs w:val="27"/>
          <w:lang w:eastAsia="ru-RU"/>
        </w:rPr>
        <w:t xml:space="preserve">ально оборудованных для торговли передвижных мобильных</w:t>
      </w:r>
      <w:r>
        <w:rPr>
          <w:rFonts w:ascii="Times New Roman" w:hAnsi="Times New Roman" w:eastAsia="Calibri"/>
          <w:sz w:val="27"/>
          <w:szCs w:val="27"/>
          <w:lang w:eastAsia="ru-RU"/>
        </w:rPr>
        <w:t xml:space="preserve"> сооружений, в том числе транспортных средств, а также мобильного оборудования, применяемого только в комплекте с транспортным средством.</w:t>
      </w:r>
      <w:r/>
    </w:p>
    <w:p>
      <w:pPr>
        <w:pStyle w:val="687"/>
        <w:ind w:firstLine="720"/>
        <w:jc w:val="both"/>
        <w:spacing w:lineRule="auto" w:line="240" w:after="0"/>
        <w:rPr>
          <w:rFonts w:ascii="Times New Roman" w:hAnsi="Times New Roman" w:eastAsia="Calibri"/>
          <w:sz w:val="27"/>
          <w:szCs w:val="27"/>
          <w:lang w:eastAsia="ru-RU"/>
        </w:rPr>
      </w:pPr>
      <w:r>
        <w:rPr>
          <w:rFonts w:ascii="Times New Roman" w:hAnsi="Times New Roman" w:eastAsia="Calibri"/>
          <w:sz w:val="27"/>
          <w:szCs w:val="27"/>
          <w:lang w:eastAsia="ru-RU"/>
        </w:rPr>
        <w:t xml:space="preserve">К объектам развозной торговли относятся: автолавки, автофургоны, тонары, автоприцепы, автоцистерны, магазины-вагоны, автомагазины, передвижные торговые автоматы</w:t>
      </w:r>
      <w:r>
        <w:rPr>
          <w:rFonts w:ascii="Times New Roman" w:hAnsi="Times New Roman" w:eastAsia="Calibri"/>
          <w:sz w:val="27"/>
          <w:szCs w:val="27"/>
          <w:lang w:eastAsia="ru-RU"/>
        </w:rPr>
        <w:t xml:space="preserve">».</w:t>
      </w:r>
      <w:r>
        <w:rPr>
          <w:rFonts w:ascii="Times New Roman" w:hAnsi="Times New Roman" w:eastAsia="Calibri"/>
          <w:sz w:val="27"/>
          <w:szCs w:val="27"/>
          <w:lang w:eastAsia="ru-RU"/>
        </w:rPr>
      </w:r>
      <w:r/>
    </w:p>
    <w:p>
      <w:pPr>
        <w:pStyle w:val="692"/>
        <w:numPr>
          <w:ilvl w:val="0"/>
          <w:numId w:val="5"/>
        </w:numPr>
        <w:ind w:hanging="5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пункте 7 подпункты 9, 10, 2</w:t>
      </w:r>
      <w:r>
        <w:rPr>
          <w:rFonts w:ascii="Times New Roman" w:hAnsi="Times New Roman"/>
          <w:sz w:val="27"/>
          <w:szCs w:val="27"/>
        </w:rPr>
        <w:t xml:space="preserve">2 изложить в следующей редакции:</w:t>
      </w:r>
      <w:r>
        <w:rPr>
          <w:rFonts w:ascii="Times New Roman" w:hAnsi="Times New Roman"/>
          <w:sz w:val="27"/>
          <w:szCs w:val="27"/>
        </w:rPr>
      </w:r>
      <w:r/>
    </w:p>
    <w:p>
      <w:pPr>
        <w:pStyle w:val="692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</w:t>
      </w:r>
      <w:r>
        <w:rPr>
          <w:rFonts w:ascii="Times New Roman" w:hAnsi="Times New Roman"/>
          <w:sz w:val="27"/>
          <w:szCs w:val="27"/>
        </w:rPr>
        <w:t xml:space="preserve">9) торговля, в том числе развозная, в неустановленных для этого местах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на обочинах автомобильных дорог общего пользования, газонах, тротуарах, остановках общественного транспорта и других неустановленных местах;</w:t>
      </w:r>
      <w:r/>
    </w:p>
    <w:p>
      <w:pPr>
        <w:pStyle w:val="692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10) самовольная установка (без оформленных в установленном порядке документов, подтверждающих право на размещение) временных нестационарных объектов, в том числе объектов развозной торговли;</w:t>
      </w:r>
      <w:r/>
    </w:p>
    <w:p>
      <w:pPr>
        <w:pStyle w:val="692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22) размещение на придомовых территориях в случае, когда земельный участок не образован, нестационарных объектов мелкорозничной торговой сети</w:t>
      </w:r>
      <w:r>
        <w:rPr>
          <w:rFonts w:ascii="Times New Roman" w:hAnsi="Times New Roman"/>
          <w:sz w:val="27"/>
          <w:szCs w:val="27"/>
        </w:rPr>
        <w:t xml:space="preserve"> и (или) оказания услуг населению, объектов развозной торговли, автомобильных моек контейнерного типа»;</w:t>
      </w:r>
      <w:r>
        <w:rPr>
          <w:rFonts w:ascii="Times New Roman" w:hAnsi="Times New Roman"/>
          <w:sz w:val="27"/>
          <w:szCs w:val="27"/>
        </w:rPr>
      </w:r>
      <w:r/>
    </w:p>
    <w:p>
      <w:pPr>
        <w:pStyle w:val="692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</w:t>
      </w:r>
      <w:r>
        <w:rPr>
          <w:rFonts w:ascii="Times New Roman" w:hAnsi="Times New Roman"/>
          <w:sz w:val="27"/>
          <w:szCs w:val="27"/>
        </w:rPr>
        <w:t xml:space="preserve">)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абзац первый подпункта 1) пункта 38 изложить в следующей редакции:</w:t>
      </w:r>
      <w:r>
        <w:rPr>
          <w:rFonts w:ascii="Times New Roman" w:hAnsi="Times New Roman"/>
          <w:sz w:val="27"/>
          <w:szCs w:val="27"/>
        </w:rPr>
      </w:r>
      <w:r/>
    </w:p>
    <w:p>
      <w:pPr>
        <w:pStyle w:val="692"/>
        <w:ind w:firstLine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</w:t>
      </w:r>
      <w:r>
        <w:rPr>
          <w:rFonts w:ascii="Times New Roman" w:hAnsi="Times New Roman"/>
          <w:sz w:val="27"/>
          <w:szCs w:val="27"/>
        </w:rPr>
        <w:t xml:space="preserve">1)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для отдельно стоящих временных нестационарных объектов мелкорозничной торговли, бытового обслуживания и услуг (киосков, торговых остановочных комплексов, павильонов, автомоек и др.), объектов развозной т</w:t>
      </w:r>
      <w:r>
        <w:rPr>
          <w:rFonts w:ascii="Times New Roman" w:hAnsi="Times New Roman"/>
          <w:sz w:val="27"/>
          <w:szCs w:val="27"/>
        </w:rPr>
        <w:t xml:space="preserve">орговли, гаражей, расположенных</w:t>
      </w:r>
      <w:r>
        <w:rPr>
          <w:rFonts w:ascii="Times New Roman" w:hAnsi="Times New Roman"/>
          <w:sz w:val="27"/>
          <w:szCs w:val="27"/>
        </w:rPr>
        <w:t xml:space="preserve">»;</w:t>
      </w:r>
      <w:r/>
    </w:p>
    <w:p>
      <w:pPr>
        <w:pStyle w:val="692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раздел 1 главы </w:t>
      </w:r>
      <w:r>
        <w:rPr>
          <w:rFonts w:ascii="Times New Roman" w:hAnsi="Times New Roman"/>
          <w:sz w:val="27"/>
          <w:szCs w:val="27"/>
          <w:lang w:val="en-US"/>
        </w:rPr>
        <w:t xml:space="preserve">VI</w:t>
      </w:r>
      <w:r>
        <w:rPr>
          <w:rFonts w:ascii="Times New Roman" w:hAnsi="Times New Roman"/>
          <w:sz w:val="27"/>
          <w:szCs w:val="27"/>
        </w:rPr>
        <w:t xml:space="preserve"> дополнить подразделом 6 следующего содержания:</w:t>
      </w:r>
      <w:r/>
    </w:p>
    <w:p>
      <w:pPr>
        <w:pStyle w:val="692"/>
        <w:ind w:left="709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Подраздел 5. Объекты развозной торговли</w:t>
      </w:r>
      <w:r/>
    </w:p>
    <w:p>
      <w:pPr>
        <w:pStyle w:val="692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295.1. Размещение объектов развозной торговли не допускается в следующих местах</w:t>
      </w:r>
      <w:r>
        <w:rPr>
          <w:rFonts w:ascii="Times New Roman" w:hAnsi="Times New Roman"/>
          <w:sz w:val="27"/>
          <w:szCs w:val="27"/>
        </w:rPr>
        <w:t xml:space="preserve"> на территориях общего пользования:</w:t>
      </w:r>
      <w:r>
        <w:rPr>
          <w:rFonts w:ascii="Times New Roman" w:hAnsi="Times New Roman"/>
          <w:sz w:val="27"/>
          <w:szCs w:val="27"/>
        </w:rPr>
      </w:r>
      <w:r/>
    </w:p>
    <w:p>
      <w:pPr>
        <w:pStyle w:val="692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1) не разрешенных для стоянки Правилами дорожного движения Российской Федерации, не имеющих подъездных путей, мешающих движению пешеходов;</w:t>
      </w:r>
      <w:r>
        <w:rPr>
          <w:rFonts w:ascii="Times New Roman" w:hAnsi="Times New Roman"/>
          <w:sz w:val="27"/>
          <w:szCs w:val="27"/>
        </w:rPr>
      </w:r>
      <w:r/>
    </w:p>
    <w:p>
      <w:pPr>
        <w:pStyle w:val="692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</w:t>
      </w:r>
      <w:r>
        <w:rPr>
          <w:rFonts w:ascii="Times New Roman" w:hAnsi="Times New Roman"/>
          <w:sz w:val="27"/>
          <w:szCs w:val="27"/>
        </w:rPr>
        <w:t xml:space="preserve">) относящихся к охранным зонам памятников истории, культуры и архитектуры, санитарно – защитным зонам, территориям</w:t>
      </w:r>
      <w:r>
        <w:rPr>
          <w:rFonts w:ascii="Times New Roman" w:hAnsi="Times New Roman"/>
          <w:sz w:val="27"/>
          <w:szCs w:val="27"/>
        </w:rPr>
        <w:t xml:space="preserve">, занятым зелеными насаждениями, придомовым территориям в случае, когда</w:t>
      </w:r>
      <w:r>
        <w:rPr>
          <w:rFonts w:ascii="Times New Roman" w:hAnsi="Times New Roman"/>
          <w:sz w:val="27"/>
          <w:szCs w:val="27"/>
        </w:rPr>
        <w:t xml:space="preserve"> земельный участок не образован.</w:t>
      </w:r>
      <w:r>
        <w:rPr>
          <w:rFonts w:ascii="Times New Roman" w:hAnsi="Times New Roman"/>
          <w:sz w:val="27"/>
          <w:szCs w:val="27"/>
        </w:rPr>
      </w:r>
      <w:r/>
    </w:p>
    <w:p>
      <w:pPr>
        <w:pStyle w:val="692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295.2 Осуществление развозной торговли не допускается, если объект развозной торговли находится в технически неисправном состоянии, не соотв</w:t>
      </w:r>
      <w:r>
        <w:rPr>
          <w:rFonts w:ascii="Times New Roman" w:hAnsi="Times New Roman"/>
          <w:sz w:val="27"/>
          <w:szCs w:val="27"/>
        </w:rPr>
        <w:t xml:space="preserve">етствует требованиям безопасности, санитарно – гигиеническим нормам и правилам, требованиям законодательства Российской Федерации о рекламе, не имеет вывески, содержащей информацию, предусмотренную Законом Российской Федерации «О защите прав потребителей».</w:t>
      </w:r>
      <w:r/>
    </w:p>
    <w:p>
      <w:pPr>
        <w:pStyle w:val="692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295.3. Требования к размещению и внешнему виду объектов для осуществления развозной торговли на территориях общего пользования, осуществлению их деяте</w:t>
      </w:r>
      <w:r>
        <w:rPr>
          <w:rFonts w:ascii="Times New Roman" w:hAnsi="Times New Roman"/>
          <w:sz w:val="27"/>
          <w:szCs w:val="27"/>
        </w:rPr>
        <w:t xml:space="preserve">льности, порядок выдачи разрешения на размещение объекта развозной торговли, порядок отзыва или аннулирования разрешений, порядок ведения реестра выданных разрешений устанавливаются муниципальными нормативными правовыми актами Копейского городского округа.</w:t>
      </w:r>
      <w:r/>
    </w:p>
    <w:p>
      <w:pPr>
        <w:pStyle w:val="692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 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Настоящее решение подлежит опубликованию в газете «Копейский рабочий» и размещению на официальном Интернет-сайте Собрания депутатов Копейского городского округа.</w:t>
      </w:r>
      <w:r/>
    </w:p>
    <w:p>
      <w:pPr>
        <w:pStyle w:val="692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3.    Контроль исполнения настоящего решения возложить на постоянную комиссию по вопросам городского хозяйства и землепользования.</w:t>
      </w:r>
      <w:r/>
    </w:p>
    <w:p>
      <w:pPr>
        <w:pStyle w:val="687"/>
        <w:numPr>
          <w:ilvl w:val="0"/>
          <w:numId w:val="7"/>
        </w:numPr>
        <w:jc w:val="both"/>
        <w:spacing w:lineRule="auto" w:line="240" w:after="0"/>
        <w:shd w:val="clear" w:fill="FFFFFF" w:color="FFFFFF"/>
        <w:widowControl w:val="off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Решение вступает в силу с момента его официального опубликования</w:t>
      </w:r>
      <w:r>
        <w:rPr>
          <w:rFonts w:ascii="Times New Roman" w:hAnsi="Times New Roman"/>
          <w:sz w:val="27"/>
          <w:szCs w:val="27"/>
        </w:rPr>
        <w:t xml:space="preserve">.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</w:r>
      <w:r/>
    </w:p>
    <w:tbl>
      <w:tblPr>
        <w:tblW w:w="964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428"/>
        <w:gridCol w:w="540"/>
        <w:gridCol w:w="4680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428" w:type="dxa"/>
            <w:vAlign w:val="top"/>
            <w:textDirection w:val="lrTb"/>
            <w:noWrap w:val="false"/>
          </w:tcPr>
          <w:p>
            <w:pPr>
              <w:pStyle w:val="687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  <w:r/>
          </w:p>
          <w:p>
            <w:pPr>
              <w:pStyle w:val="687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  <w:r/>
          </w:p>
          <w:p>
            <w:pPr>
              <w:pStyle w:val="687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Председатель Собрания депутатов Копейского городского округа</w:t>
            </w:r>
            <w:r/>
          </w:p>
          <w:p>
            <w:pPr>
              <w:pStyle w:val="687"/>
              <w:jc w:val="center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                         Е.К. Гиске</w:t>
            </w:r>
            <w:r>
              <w:rPr>
                <w:rFonts w:ascii="Times New Roman" w:hAnsi="Times New Roman"/>
                <w:sz w:val="27"/>
                <w:szCs w:val="27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687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687"/>
              <w:ind w:hanging="6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  <w:r/>
          </w:p>
          <w:p>
            <w:pPr>
              <w:pStyle w:val="687"/>
              <w:ind w:hanging="6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  <w:r/>
          </w:p>
          <w:p>
            <w:pPr>
              <w:pStyle w:val="687"/>
              <w:ind w:hanging="6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Глава Копейского городского округа</w:t>
            </w:r>
            <w:r/>
          </w:p>
          <w:p>
            <w:pPr>
              <w:pStyle w:val="687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  <w:r/>
          </w:p>
          <w:p>
            <w:pPr>
              <w:pStyle w:val="687"/>
              <w:jc w:val="right"/>
              <w:spacing w:lineRule="auto" w:line="240" w:after="0"/>
              <w:shd w:val="clear" w:fill="FFFFFF" w:color="FFFFFF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А.М. Фалейчик</w:t>
            </w:r>
            <w:r/>
          </w:p>
        </w:tc>
      </w:tr>
    </w:tbl>
    <w:p>
      <w:pPr>
        <w:pStyle w:val="687"/>
        <w:spacing w:lineRule="auto" w:line="240" w:after="0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87"/>
        <w:spacing w:lineRule="auto" w:line="240" w:after="0"/>
        <w:rPr>
          <w:sz w:val="27"/>
          <w:szCs w:val="27"/>
        </w:rPr>
      </w:pPr>
      <w:r>
        <w:rPr>
          <w:sz w:val="27"/>
          <w:szCs w:val="27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rPr>
        <w:rStyle w:val="696"/>
      </w:rPr>
      <w:framePr w:wrap="around" w:vAnchor="text" w:hAnchor="margin" w:xAlign="center" w:y="1"/>
    </w:pPr>
    <w:r>
      <w:rPr>
        <w:rStyle w:val="696"/>
      </w:rPr>
      <w:fldChar w:fldCharType="begin"/>
    </w:r>
    <w:r>
      <w:rPr>
        <w:rStyle w:val="696"/>
      </w:rPr>
      <w:instrText xml:space="preserve">PAGE  </w:instrText>
    </w:r>
    <w:r>
      <w:rPr>
        <w:rStyle w:val="696"/>
      </w:rPr>
      <w:fldChar w:fldCharType="separate"/>
    </w:r>
    <w:r>
      <w:rPr>
        <w:rStyle w:val="696"/>
      </w:rPr>
      <w:t xml:space="preserve">2</w:t>
    </w:r>
    <w:r>
      <w:rPr>
        <w:rStyle w:val="696"/>
      </w:rPr>
      <w:fldChar w:fldCharType="end"/>
    </w:r>
    <w:r>
      <w:rPr>
        <w:rStyle w:val="696"/>
      </w:rPr>
    </w:r>
    <w:r/>
  </w:p>
  <w:p>
    <w:pPr>
      <w:pStyle w:val="69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rPr>
        <w:rStyle w:val="696"/>
      </w:rPr>
      <w:framePr w:wrap="around" w:vAnchor="text" w:hAnchor="margin" w:xAlign="center" w:y="1"/>
    </w:pPr>
    <w:r>
      <w:rPr>
        <w:rStyle w:val="696"/>
      </w:rPr>
      <w:fldChar w:fldCharType="begin"/>
    </w:r>
    <w:r>
      <w:rPr>
        <w:rStyle w:val="696"/>
      </w:rPr>
      <w:instrText xml:space="preserve">PAGE  </w:instrText>
    </w:r>
    <w:r>
      <w:rPr>
        <w:rStyle w:val="696"/>
      </w:rPr>
      <w:fldChar w:fldCharType="end"/>
    </w:r>
    <w:r>
      <w:rPr>
        <w:rStyle w:val="696"/>
      </w:rPr>
    </w:r>
    <w:r/>
  </w:p>
  <w:p>
    <w:pPr>
      <w:pStyle w:val="69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)"/>
      <w:lvlJc w:val="left"/>
      <w:pPr>
        <w:pStyle w:val="687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8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8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8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8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8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8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8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87"/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87"/>
        <w:ind w:left="0" w:firstLine="72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87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87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87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87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87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87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87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87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687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87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87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87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87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87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87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87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87"/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87"/>
        <w:ind w:left="0" w:firstLine="72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87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87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87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87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87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87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87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87"/>
        <w:ind w:left="66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87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87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87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87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87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87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87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87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87"/>
        <w:ind w:left="666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pStyle w:val="687"/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87"/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87"/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87"/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87"/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87"/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87"/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87"/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87"/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87"/>
        <w:ind w:left="900" w:hanging="360"/>
      </w:pPr>
      <w:rPr>
        <w:rFonts w:ascii="Times New Roman" w:hAnsi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87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87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87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87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87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87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87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87"/>
        <w:ind w:left="666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687">
    <w:name w:val="Обычный"/>
    <w:next w:val="687"/>
    <w:link w:val="687"/>
    <w:rPr>
      <w:rFonts w:ascii="Calibri" w:hAnsi="Calibri"/>
      <w:sz w:val="22"/>
      <w:szCs w:val="22"/>
      <w:lang w:val="ru-RU" w:bidi="ar-SA" w:eastAsia="en-US"/>
    </w:rPr>
    <w:pPr>
      <w:spacing w:lineRule="auto" w:line="276" w:after="200"/>
    </w:pPr>
  </w:style>
  <w:style w:type="paragraph" w:styleId="688">
    <w:name w:val="Заголовок 1"/>
    <w:basedOn w:val="687"/>
    <w:next w:val="687"/>
    <w:link w:val="687"/>
    <w:rPr>
      <w:rFonts w:ascii="Times New Roman" w:hAnsi="Times New Roman"/>
      <w:b/>
      <w:bCs/>
      <w:lang w:eastAsia="ru-RU"/>
    </w:rPr>
    <w:pPr>
      <w:jc w:val="center"/>
      <w:keepNext/>
      <w:spacing w:lineRule="auto" w:line="240" w:after="0"/>
      <w:outlineLvl w:val="0"/>
    </w:pPr>
  </w:style>
  <w:style w:type="character" w:styleId="689">
    <w:name w:val="Основной шрифт абзаца"/>
    <w:next w:val="689"/>
    <w:link w:val="687"/>
    <w:semiHidden/>
  </w:style>
  <w:style w:type="table" w:styleId="690">
    <w:name w:val="Обычная таблица"/>
    <w:next w:val="690"/>
    <w:link w:val="687"/>
    <w:semiHidden/>
    <w:tblPr/>
  </w:style>
  <w:style w:type="numbering" w:styleId="691">
    <w:name w:val="Нет списка"/>
    <w:next w:val="691"/>
    <w:link w:val="687"/>
    <w:semiHidden/>
  </w:style>
  <w:style w:type="paragraph" w:styleId="692">
    <w:name w:val="ConsPlusNormal"/>
    <w:next w:val="692"/>
    <w:link w:val="687"/>
    <w:rPr>
      <w:rFonts w:ascii="Calibri" w:hAnsi="Calibri" w:eastAsia="Calibri"/>
      <w:sz w:val="22"/>
      <w:lang w:val="ru-RU" w:bidi="ar-SA" w:eastAsia="ru-RU"/>
    </w:rPr>
    <w:pPr>
      <w:widowControl w:val="off"/>
    </w:pPr>
  </w:style>
  <w:style w:type="paragraph" w:styleId="693">
    <w:name w:val="ConsPlusTitle"/>
    <w:next w:val="693"/>
    <w:link w:val="687"/>
    <w:rPr>
      <w:rFonts w:ascii="Calibri" w:hAnsi="Calibri" w:eastAsia="Calibri"/>
      <w:b/>
      <w:sz w:val="22"/>
      <w:lang w:val="ru-RU" w:bidi="ar-SA" w:eastAsia="ru-RU"/>
    </w:rPr>
    <w:pPr>
      <w:widowControl w:val="off"/>
    </w:pPr>
  </w:style>
  <w:style w:type="character" w:styleId="694">
    <w:name w:val="Гипертекстовая ссылка"/>
    <w:next w:val="694"/>
    <w:link w:val="687"/>
    <w:rPr>
      <w:color w:val="106BBE"/>
    </w:rPr>
  </w:style>
  <w:style w:type="paragraph" w:styleId="695">
    <w:name w:val="Верхний колонтитул"/>
    <w:basedOn w:val="687"/>
    <w:next w:val="695"/>
    <w:link w:val="687"/>
    <w:pPr>
      <w:tabs>
        <w:tab w:val="center" w:pos="4677" w:leader="none"/>
        <w:tab w:val="right" w:pos="9355" w:leader="none"/>
      </w:tabs>
    </w:pPr>
  </w:style>
  <w:style w:type="character" w:styleId="696">
    <w:name w:val="Номер страницы"/>
    <w:basedOn w:val="689"/>
    <w:next w:val="696"/>
    <w:link w:val="687"/>
  </w:style>
  <w:style w:type="paragraph" w:styleId="697">
    <w:name w:val="Текст выноски"/>
    <w:basedOn w:val="687"/>
    <w:next w:val="697"/>
    <w:link w:val="687"/>
    <w:semiHidden/>
    <w:rPr>
      <w:rFonts w:ascii="Tahoma" w:hAnsi="Tahoma"/>
      <w:sz w:val="16"/>
      <w:szCs w:val="16"/>
    </w:rPr>
  </w:style>
  <w:style w:type="paragraph" w:styleId="698">
    <w:name w:val="Основной текст с отступом"/>
    <w:basedOn w:val="687"/>
    <w:next w:val="698"/>
    <w:link w:val="687"/>
    <w:rPr>
      <w:rFonts w:ascii="Times New Roman" w:hAnsi="Times New Roman"/>
      <w:b/>
      <w:bCs/>
      <w:sz w:val="34"/>
      <w:szCs w:val="34"/>
      <w:lang w:eastAsia="ru-RU"/>
    </w:rPr>
    <w:pPr>
      <w:jc w:val="center"/>
      <w:spacing w:lineRule="auto" w:line="240" w:after="0"/>
      <w:pBdr>
        <w:bottom w:val="single" w:color="000000" w:sz="24" w:space="1"/>
      </w:pBdr>
    </w:pPr>
  </w:style>
  <w:style w:type="paragraph" w:styleId="699">
    <w:name w:val=" Знак1"/>
    <w:basedOn w:val="687"/>
    <w:next w:val="687"/>
    <w:link w:val="687"/>
    <w:semiHidden/>
    <w:rPr>
      <w:rFonts w:ascii="Arial" w:hAnsi="Arial"/>
      <w:sz w:val="20"/>
      <w:szCs w:val="20"/>
      <w:lang w:val="en-US"/>
    </w:rPr>
    <w:pPr>
      <w:spacing w:lineRule="exact" w:line="240" w:after="160"/>
    </w:pPr>
  </w:style>
  <w:style w:type="paragraph" w:styleId="700">
    <w:name w:val="Нижний колонтитул"/>
    <w:basedOn w:val="687"/>
    <w:next w:val="700"/>
    <w:link w:val="701"/>
    <w:pPr>
      <w:tabs>
        <w:tab w:val="center" w:pos="4677" w:leader="none"/>
        <w:tab w:val="right" w:pos="9355" w:leader="none"/>
      </w:tabs>
    </w:pPr>
  </w:style>
  <w:style w:type="character" w:styleId="701">
    <w:name w:val="Нижний колонтитул Знак"/>
    <w:next w:val="701"/>
    <w:link w:val="700"/>
    <w:rPr>
      <w:rFonts w:ascii="Calibri" w:hAnsi="Calibri"/>
      <w:sz w:val="22"/>
      <w:szCs w:val="22"/>
      <w:lang w:eastAsia="en-US"/>
    </w:rPr>
  </w:style>
  <w:style w:type="character" w:styleId="988" w:default="1">
    <w:name w:val="Default Paragraph Font"/>
    <w:uiPriority w:val="1"/>
    <w:semiHidden/>
    <w:unhideWhenUsed/>
  </w:style>
  <w:style w:type="numbering" w:styleId="989" w:default="1">
    <w:name w:val="No List"/>
    <w:uiPriority w:val="99"/>
    <w:semiHidden/>
    <w:unhideWhenUsed/>
  </w:style>
  <w:style w:type="paragraph" w:styleId="990" w:default="1">
    <w:name w:val="Normal"/>
    <w:qFormat/>
  </w:style>
  <w:style w:type="table" w:styleId="9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Р7-Офис/6.2.2.20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2021-08-09T05:38:25Z</dcterms:modified>
</cp:coreProperties>
</file>