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val="en-US"/>
        </w:rPr>
        <w:t>09.02.2026</w:t>
        <w:tab/>
        <w:t>№276-п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ind w:right="5159"/>
        <w:jc w:val="both"/>
        <w:rPr/>
      </w:pPr>
      <w:r>
        <w:rPr>
          <w:sz w:val="28"/>
          <w:szCs w:val="28"/>
        </w:rPr>
        <w:t xml:space="preserve">Об установлении норматива стоимости одного квадратного метра общей площади жилого помещения по муниципальному образованию «Копейский городской округ» на 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 квартал 2026 года для расчета размера социальных выплат на приобретение жилого помещения или строительство индивидуального жилого дома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rStyle w:val="Style15"/>
          <w:color w:val="000000"/>
          <w:sz w:val="28"/>
          <w:szCs w:val="28"/>
        </w:rPr>
        <w:t xml:space="preserve">Жилищным кодексом Российской Федерации, Федеральными законами от 20 марта 2025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государственной программой Российской Федерации «О</w:t>
      </w:r>
      <w:r>
        <w:rPr>
          <w:sz w:val="28"/>
          <w:szCs w:val="28"/>
          <w:lang w:eastAsia="ru-RU"/>
        </w:rPr>
        <w:t>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», утвержденной постановлением Правительства Российской Федерации от 30.12.2017 № 1710, Приказом Министерства строительства и жилищно-коммунального хозяйства Российской Федерации от 08.12.2025 № 777/пр «О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1 квартал 2026 года», распоряжением администрации Копейского городского округа от 01.11.2024 № 876-р             «Об утверждении муниципальной программы «Оказание молодым семьям государственной поддержки для улучшения жилищных условий в Копейском городском округе» администрация Копейского городского округа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ПОСТАНОВЛЯЕТ:</w:t>
      </w:r>
    </w:p>
    <w:p>
      <w:pPr>
        <w:pStyle w:val="Normal"/>
        <w:widowControl w:val="false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1.</w:t>
        <w:tab/>
        <w:t xml:space="preserve">Установить норматив стоимости одного квадратного метра общей площади жилого помещения по муниципальному образованию «Копейский городской округ» на 1 квартал 2026 года в размере 95724 (девяносто пять тысяч семьсот двадцать четыре) рубля для расчета размера социальных выплат на приобретение жилого помещения или строительство индивидуального жилого дома – участникам муниципальной </w:t>
      </w:r>
      <w:hyperlink r:id="rId2" w:tooltip="consultantplus://offline/ref=B6C81C80FE718701D7CBF61242694125EACD5999F9C54BDA7EF63EAE6141098A21D6BE13B6418AC4C69368g9z3I">
        <w:r>
          <w:rPr>
            <w:rStyle w:val="Hyperlink"/>
            <w:color w:val="000000"/>
            <w:sz w:val="28"/>
            <w:szCs w:val="28"/>
            <w:u w:val="none"/>
            <w:lang w:val="ru-RU"/>
          </w:rPr>
          <w:t>прог</w:t>
        </w:r>
      </w:hyperlink>
      <w:r>
        <w:rPr>
          <w:color w:val="000000"/>
          <w:sz w:val="28"/>
          <w:szCs w:val="28"/>
        </w:rPr>
        <w:t>раммы</w:t>
      </w:r>
      <w:r>
        <w:rPr>
          <w:sz w:val="28"/>
          <w:szCs w:val="28"/>
        </w:rPr>
        <w:t xml:space="preserve"> «Оказание молодым семьям государственной поддержки для улучшения жилищных условий в Копейском городском округе». </w:t>
      </w:r>
    </w:p>
    <w:p>
      <w:pPr>
        <w:pStyle w:val="Normal"/>
        <w:widowControl w:val="false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2.</w:t>
        <w:tab/>
        <w:t>Отделу жилищной политики администрации Копейского городского округа (Саевская И.Д.) руководствоваться настоящим постановлением при расчете размера социальных выплат на приобретение жилого помещения или строительство индивидуального жилого дома – участникам муниципальной программы «Оказание молодым семьям государственной поддержки для улучшения жилищных условий в Копейском городском округе».</w:t>
      </w:r>
    </w:p>
    <w:p>
      <w:pPr>
        <w:pStyle w:val="Normal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3.</w:t>
        <w:tab/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1110" w:leader="none"/>
        </w:tabs>
        <w:ind w:firstLine="850"/>
        <w:jc w:val="both"/>
        <w:rPr/>
      </w:pPr>
      <w:r>
        <w:rPr>
          <w:sz w:val="28"/>
          <w:szCs w:val="28"/>
        </w:rPr>
        <w:t>4.</w:t>
        <w:tab/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счёт средств, предусмотренных на эти цели. </w:t>
      </w:r>
    </w:p>
    <w:p>
      <w:pPr>
        <w:pStyle w:val="Normal"/>
        <w:tabs>
          <w:tab w:val="clear" w:pos="708"/>
          <w:tab w:val="left" w:pos="1155" w:leader="none"/>
        </w:tabs>
        <w:ind w:firstLine="850"/>
        <w:jc w:val="both"/>
        <w:rPr/>
      </w:pPr>
      <w:r>
        <w:rPr>
          <w:sz w:val="28"/>
          <w:szCs w:val="28"/>
        </w:rPr>
        <w:t>5.</w:t>
        <w:tab/>
      </w:r>
      <w:r>
        <w:rPr>
          <w:rStyle w:val="Style15"/>
          <w:rFonts w:eastAsia="Arial"/>
          <w:bCs/>
          <w:color w:val="000000"/>
          <w:sz w:val="28"/>
          <w:szCs w:val="28"/>
        </w:rPr>
        <w:t>Контроль исполнения настоящего постановления возложить на заместителя Главы Копейского городского округа по имуществу, градостроительству и жилищной политике Рукавишникова А.Ю.</w:t>
      </w:r>
    </w:p>
    <w:p>
      <w:pPr>
        <w:pStyle w:val="Normal"/>
        <w:tabs>
          <w:tab w:val="clear" w:pos="708"/>
          <w:tab w:val="left" w:pos="1140" w:leader="none"/>
        </w:tabs>
        <w:ind w:firstLine="850"/>
        <w:jc w:val="both"/>
        <w:rPr/>
      </w:pPr>
      <w:r>
        <w:rPr>
          <w:sz w:val="28"/>
          <w:szCs w:val="28"/>
        </w:rPr>
        <w:t>6.</w:t>
        <w:tab/>
        <w:t>Настоящее постановление вступает в силу со дня официального опубликования.</w:t>
      </w:r>
    </w:p>
    <w:p>
      <w:pPr>
        <w:pStyle w:val="Normal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rStyle w:val="Style15"/>
          <w:bCs/>
          <w:color w:val="000000"/>
          <w:sz w:val="28"/>
          <w:szCs w:val="28"/>
        </w:rPr>
        <w:t>Глава городского округа                                                                      С.В. Логанова</w:t>
      </w:r>
      <w:r>
        <w:rPr>
          <w:sz w:val="26"/>
          <w:szCs w:val="26"/>
        </w:rPr>
        <w:t xml:space="preserve">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620" w:gutter="0" w:header="709" w:top="1134" w:footer="0" w:bottom="1099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125730" cy="213995"/>
              <wp:effectExtent l="0" t="0" r="0" b="0"/>
              <wp:wrapSquare wrapText="bothSides"/>
              <wp:docPr id="1" name="Фигур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640" cy="213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1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24840" rIns="24840" tIns="24840" bIns="248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" path="m0,0l-2147483645,0l-2147483645,-2147483646l0,-2147483646xe" stroked="f" o:allowincell="f" style="position:absolute;margin-left:234.65pt;margin-top:-5pt;width:9.85pt;height:16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Style18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zh-CN" w:bidi="ar-SA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0"/>
      <w:lang w:val="ru-RU" w:eastAsia="zh-CN" w:bidi="ar-SA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zh-CN" w:bidi="ar-SA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zh-CN" w:bidi="ar-SA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zh-CN" w:bidi="ar-SA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zh-CN" w:bidi="ar-SA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zh-CN" w:bidi="ar-SA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5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6" w:customStyle="1">
    <w:name w:val="Название Знак"/>
    <w:uiPriority w:val="10"/>
    <w:qFormat/>
    <w:rPr>
      <w:sz w:val="48"/>
      <w:szCs w:val="48"/>
    </w:rPr>
  </w:style>
  <w:style w:type="character" w:styleId="Style7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8" w:customStyle="1">
    <w:name w:val="Выделенная цитата Знак"/>
    <w:link w:val="IntenseQuote"/>
    <w:uiPriority w:val="30"/>
    <w:qFormat/>
    <w:rPr>
      <w:i/>
    </w:rPr>
  </w:style>
  <w:style w:type="character" w:styleId="Style9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1" w:customStyle="1">
    <w:name w:val="Нижний колонтитул Знак1"/>
    <w:uiPriority w:val="99"/>
    <w:qFormat/>
    <w:rPr/>
  </w:style>
  <w:style w:type="character" w:styleId="Hyperlink">
    <w:name w:val="Hyperlink"/>
    <w:rPr>
      <w:color w:val="000080"/>
      <w:u w:val="single"/>
      <w:lang w:val="en-US" w:bidi="en-US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2" w:customStyle="1">
    <w:name w:val="Основной шрифт абзаца2"/>
    <w:qFormat/>
    <w:rPr/>
  </w:style>
  <w:style w:type="character" w:styleId="12" w:customStyle="1">
    <w:name w:val="Основной шрифт абзаца1"/>
    <w:qFormat/>
    <w:rPr/>
  </w:style>
  <w:style w:type="character" w:styleId="PageNumber">
    <w:name w:val="page number"/>
    <w:basedOn w:val="12"/>
    <w:rPr/>
  </w:style>
  <w:style w:type="character" w:styleId="Style14" w:customStyle="1">
    <w:name w:val="Нижний колонтитул Знак"/>
    <w:qFormat/>
    <w:rPr>
      <w:sz w:val="24"/>
      <w:szCs w:val="24"/>
    </w:rPr>
  </w:style>
  <w:style w:type="character" w:styleId="Style15" w:customStyle="1">
    <w:name w:val="Основной текст_"/>
    <w:qFormat/>
    <w:rPr>
      <w:sz w:val="26"/>
      <w:szCs w:val="26"/>
      <w:lang w:bidi="ar-SA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link w:val="Style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6"/>
    <w:pPr/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left="720"/>
      <w:contextualSpacing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link w:val="Style6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ahoma" w:cs="Droid Sans"/>
      <w:color w:val="auto"/>
      <w:kern w:val="0"/>
      <w:sz w:val="48"/>
      <w:szCs w:val="48"/>
      <w:lang w:val="ru-RU" w:eastAsia="zh-CN" w:bidi="ar-SA"/>
    </w:rPr>
  </w:style>
  <w:style w:type="paragraph" w:styleId="Subtitle">
    <w:name w:val="Subtitle"/>
    <w:link w:val="Style7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ahoma" w:cs="Droid Sans"/>
      <w:color w:val="auto"/>
      <w:kern w:val="0"/>
      <w:sz w:val="24"/>
      <w:szCs w:val="24"/>
      <w:lang w:val="ru-RU" w:eastAsia="zh-CN" w:bidi="ar-SA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left="720" w:right="720"/>
      <w:jc w:val="left"/>
    </w:pPr>
    <w:rPr>
      <w:rFonts w:ascii="Times New Roman" w:hAnsi="Times New Roman" w:eastAsia="Tahoma" w:cs="Droid Sans"/>
      <w:i/>
      <w:color w:val="auto"/>
      <w:kern w:val="0"/>
      <w:sz w:val="20"/>
      <w:szCs w:val="20"/>
      <w:lang w:val="ru-RU" w:eastAsia="zh-CN" w:bidi="ar-SA"/>
    </w:rPr>
  </w:style>
  <w:style w:type="paragraph" w:styleId="IntenseQuote">
    <w:name w:val="Intense Quote"/>
    <w:link w:val="Style8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left="720" w:right="720"/>
      <w:jc w:val="left"/>
    </w:pPr>
    <w:rPr>
      <w:rFonts w:ascii="Times New Roman" w:hAnsi="Times New Roman" w:eastAsia="Tahoma" w:cs="Droid Sans"/>
      <w:i/>
      <w:color w:val="auto"/>
      <w:kern w:val="0"/>
      <w:sz w:val="20"/>
      <w:szCs w:val="20"/>
      <w:lang w:val="ru-RU" w:eastAsia="zh-CN" w:bidi="ar-SA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10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ahoma" w:cs="Droid Sans"/>
      <w:color w:val="auto"/>
      <w:kern w:val="0"/>
      <w:sz w:val="18"/>
      <w:szCs w:val="20"/>
      <w:lang w:val="ru-RU" w:eastAsia="zh-CN" w:bidi="ar-SA"/>
    </w:rPr>
  </w:style>
  <w:style w:type="paragraph" w:styleId="EndnoteText">
    <w:name w:val="endnote text"/>
    <w:link w:val="Style12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left="283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left="56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left="85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left="1134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left="141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left="1701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left="1984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left="2268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uiPriority w:val="9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42" w:customStyle="1">
    <w:name w:val="Указатель4"/>
    <w:basedOn w:val="Normal"/>
    <w:qFormat/>
    <w:pPr>
      <w:suppressLineNumbers/>
    </w:pPr>
    <w:rPr/>
  </w:style>
  <w:style w:type="paragraph" w:styleId="32" w:customStyle="1">
    <w:name w:val="Название объекта3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3" w:customStyle="1">
    <w:name w:val="Указатель3"/>
    <w:basedOn w:val="Normal"/>
    <w:qFormat/>
    <w:pPr>
      <w:suppressLineNumbers/>
    </w:pPr>
    <w:rPr/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4" w:customStyle="1">
    <w:name w:val="Указатель2"/>
    <w:basedOn w:val="Normal"/>
    <w:qFormat/>
    <w:pPr>
      <w:suppressLineNumbers/>
    </w:pPr>
    <w:rPr/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4" w:customStyle="1">
    <w:name w:val="Указатель1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211" w:customStyle="1">
    <w:name w:val="Основной текст с отступом 21"/>
    <w:qFormat/>
    <w:pPr>
      <w:widowControl/>
      <w:suppressAutoHyphens w:val="true"/>
      <w:bidi w:val="0"/>
      <w:spacing w:lineRule="auto" w:line="480" w:before="0" w:after="120"/>
      <w:ind w:left="283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val="ru-RU" w:eastAsia="zh-CN" w:bidi="ar-SA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auto"/>
      </w:tcPr>
    </w:tblStylePr>
    <w:tblStylePr w:type="band1Horz">
      <w:rPr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auto"/>
      </w:tcPr>
    </w:tblStylePr>
    <w:tblStylePr w:type="firstCol">
      <w:rPr>
        <w:b/>
        <w:sz w:val="22"/>
      </w:rPr>
      <w:tblPr/>
      <w:tcPr>
        <w:shd w:val="clear" w:color="4F81BD" w:fill="auto"/>
      </w:tcPr>
    </w:tblStylePr>
    <w:tblStylePr w:type="lastCol">
      <w:rPr>
        <w:b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auto"/>
      </w:tcPr>
    </w:tblStylePr>
    <w:tblStylePr w:type="firstCol">
      <w:rPr>
        <w:b/>
        <w:sz w:val="22"/>
      </w:rPr>
      <w:tblPr/>
      <w:tcPr>
        <w:shd w:val="clear" w:color="C0504D" w:fill="auto"/>
      </w:tcPr>
    </w:tblStylePr>
    <w:tblStylePr w:type="lastCol">
      <w:rPr>
        <w:b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auto"/>
      </w:tcPr>
    </w:tblStylePr>
    <w:tblStylePr w:type="firstCol">
      <w:rPr>
        <w:b/>
        <w:sz w:val="22"/>
      </w:rPr>
      <w:tblPr/>
      <w:tcPr>
        <w:shd w:val="clear" w:color="9BBB59" w:fill="auto"/>
      </w:tcPr>
    </w:tblStylePr>
    <w:tblStylePr w:type="lastCol">
      <w:rPr>
        <w:b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auto"/>
      </w:tcPr>
    </w:tblStylePr>
    <w:tblStylePr w:type="firstCol">
      <w:rPr>
        <w:b/>
        <w:sz w:val="22"/>
      </w:rPr>
      <w:tblPr/>
      <w:tcPr>
        <w:shd w:val="clear" w:color="8064A2" w:fill="auto"/>
      </w:tcPr>
    </w:tblStylePr>
    <w:tblStylePr w:type="lastCol">
      <w:rPr>
        <w:b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auto"/>
      </w:tcPr>
    </w:tblStylePr>
    <w:tblStylePr w:type="firstCol">
      <w:rPr>
        <w:b/>
        <w:sz w:val="22"/>
      </w:rPr>
      <w:tblPr/>
      <w:tcPr>
        <w:shd w:val="clear" w:color="4BACC6" w:fill="auto"/>
      </w:tcPr>
    </w:tblStylePr>
    <w:tblStylePr w:type="lastCol">
      <w:rPr>
        <w:b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auto"/>
      </w:tcPr>
    </w:tblStylePr>
    <w:tblStylePr w:type="firstCol">
      <w:rPr>
        <w:b/>
        <w:sz w:val="22"/>
      </w:rPr>
      <w:tblPr/>
      <w:tcPr>
        <w:shd w:val="clear" w:color="F79646" w:fill="auto"/>
      </w:tcPr>
    </w:tblStylePr>
    <w:tblStylePr w:type="lastCol">
      <w:rPr>
        <w:b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auto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auto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auto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auto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auto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auto"/>
      </w:tcPr>
    </w:tblStylePr>
    <w:tblStylePr w:type="band1Horz">
      <w:rPr>
        <w:color w:themeColor="text1"/>
        <w:sz w:val="22"/>
      </w:rPr>
      <w:tblPr/>
      <w:tcPr>
        <w:shd w:val="clear" w:color="BFBFBF" w:fill="auto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auto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auto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auto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auto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6C81C80FE718701D7CBF61242694125EACD5999F9C54BDA7EF63EAE6141098A21D6BE13B6418AC4C69368g9z3I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404</Words>
  <Characters>2926</Characters>
  <CharactersWithSpaces>3403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2026-02-09T08:12:00Z</dcterms:created>
  <dc:creator>Пенчева Ирина Владимировна</dc:creator>
  <dc:description/>
  <dc:language>ru-RU</dc:language>
  <cp:lastModifiedBy/>
  <dcterms:modified xsi:type="dcterms:W3CDTF">2026-02-09T13:13:55Z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