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F1" w:rsidRPr="00445A27" w:rsidRDefault="004D03F1" w:rsidP="00445A27">
      <w:pPr>
        <w:spacing w:after="300" w:line="240" w:lineRule="auto"/>
        <w:jc w:val="center"/>
        <w:outlineLvl w:val="0"/>
        <w:rPr>
          <w:rFonts w:ascii="Garamond" w:eastAsia="Times New Roman" w:hAnsi="Garamond" w:cs="Arial"/>
          <w:b/>
          <w:color w:val="000000" w:themeColor="text1"/>
          <w:kern w:val="36"/>
          <w:sz w:val="36"/>
          <w:szCs w:val="36"/>
          <w:lang w:eastAsia="ru-RU"/>
        </w:rPr>
      </w:pPr>
      <w:r w:rsidRPr="00445A27">
        <w:rPr>
          <w:rFonts w:ascii="Garamond" w:eastAsia="Times New Roman" w:hAnsi="Garamond" w:cs="Arial"/>
          <w:b/>
          <w:color w:val="000000" w:themeColor="text1"/>
          <w:kern w:val="36"/>
          <w:sz w:val="36"/>
          <w:szCs w:val="36"/>
          <w:lang w:eastAsia="ru-RU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4D03F1" w:rsidRPr="00445A27" w:rsidRDefault="004D03F1" w:rsidP="00445A27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4D03F1" w:rsidRPr="00445A27" w:rsidRDefault="004D03F1" w:rsidP="00445A27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Уведомление предоставляется:</w:t>
      </w:r>
    </w:p>
    <w:p w:rsidR="004D03F1" w:rsidRPr="00445A27" w:rsidRDefault="004D03F1" w:rsidP="00445A27">
      <w:pPr>
        <w:numPr>
          <w:ilvl w:val="1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форме, утверждённой приказом ФНС России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4D03F1" w:rsidRPr="00445A27" w:rsidRDefault="004D03F1" w:rsidP="00445A27">
      <w:pPr>
        <w:numPr>
          <w:ilvl w:val="1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4D03F1" w:rsidRPr="00445A27" w:rsidRDefault="004D03F1" w:rsidP="00445A27">
      <w:pPr>
        <w:numPr>
          <w:ilvl w:val="1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 xml:space="preserve">среднесписочная численность </w:t>
      </w:r>
      <w:proofErr w:type="gramStart"/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работников</w:t>
      </w:r>
      <w:proofErr w:type="gramEnd"/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 xml:space="preserve"> которых за предшествующий календарный год менее 100 человек;</w:t>
      </w:r>
    </w:p>
    <w:p w:rsidR="004D03F1" w:rsidRPr="00445A27" w:rsidRDefault="004D03F1" w:rsidP="00445A27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4D03F1" w:rsidRPr="00445A27" w:rsidRDefault="004D03F1" w:rsidP="00445A27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</w:p>
    <w:p w:rsidR="004D03F1" w:rsidRPr="00445A27" w:rsidRDefault="004D03F1" w:rsidP="00445A27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4D03F1" w:rsidRPr="00445A27" w:rsidRDefault="004D03F1" w:rsidP="00445A27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1033EF" w:rsidRDefault="001033EF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</w:p>
    <w:p w:rsidR="004D03F1" w:rsidRPr="00445A27" w:rsidRDefault="004D03F1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445A27"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  <w:t>ПОРЯДОК ЗАПОЛНЕНИЯ УВЕДОМЛЕНИЯ С 01.01.2023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Порядок заполнения Уведомления закреплен </w:t>
      </w:r>
      <w:hyperlink r:id="rId6" w:history="1">
        <w:r w:rsidRPr="00445A27">
          <w:rPr>
            <w:rFonts w:ascii="Garamond" w:eastAsia="Times New Roman" w:hAnsi="Garamond" w:cs="Arial"/>
            <w:color w:val="000000" w:themeColor="text1"/>
            <w:sz w:val="24"/>
            <w:szCs w:val="24"/>
            <w:lang w:eastAsia="ru-RU"/>
          </w:rPr>
          <w:t>приказом ФНС России от 02.11.2022 № ЕД-7-8/1047@</w:t>
        </w:r>
      </w:hyperlink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.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 xml:space="preserve"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</w:t>
      </w: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lastRenderedPageBreak/>
        <w:t>исчисленных суммах налогов, авансовых платежей по налогам, сборов, страховых взносов» к настоящей Памятке).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Уведомление содержит данные по плательщику в целом, а именно: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всем обособленным подразделениям (филиалам) плательщика в разрезе КПП;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КБК обязанностей по налогам, страховым взносам, подлежащих уплате;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код территории муниципального образования бюджетополучателя (ОКТМО);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сумму обязательства;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отчетный (налоговый) период;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месяц (квартал)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отчетный год.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При этом: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4D03F1" w:rsidRPr="00445A27" w:rsidRDefault="004D03F1" w:rsidP="00445A27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4D03F1" w:rsidRPr="00445A27" w:rsidRDefault="004D03F1" w:rsidP="00445A27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Особенность формирования и обработки Уведомлении по налогу на имущество организации.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445A27" w:rsidRDefault="00445A27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</w:p>
    <w:p w:rsidR="00445A27" w:rsidRDefault="00445A27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</w:p>
    <w:p w:rsidR="004D03F1" w:rsidRPr="00445A27" w:rsidRDefault="004D03F1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  <w:r w:rsidRPr="00445A27"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  <w:lastRenderedPageBreak/>
        <w:t>ПОРЯДОК ПРЕДСТАВЛЕНИЯ РАСПОРЯЖЕНИЯ НА ПЕРЕВОД ДЕНЕЖНЫХ СРЕДСТВ (УВЕДОМЛЕНИЕ В ВИДЕ РАСПОРЯЖЕНИЯ)</w:t>
      </w:r>
    </w:p>
    <w:p w:rsidR="004D03F1" w:rsidRPr="00445A27" w:rsidRDefault="004D03F1" w:rsidP="00445A27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4D03F1" w:rsidRPr="00445A27" w:rsidRDefault="004D03F1" w:rsidP="00445A27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При представлении Уведомления в виде распоряжения необходимо учитывать следующее: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поле «КПП» указывается КПП плательщика, чья обязанность исполняется (как в декларации/расчете);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4D03F1" w:rsidRPr="00445A27" w:rsidRDefault="004D03F1" w:rsidP="00445A27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При представлении Уведомления в виде распоряжения: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4D03F1" w:rsidRPr="00445A27" w:rsidRDefault="004D03F1" w:rsidP="00445A27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4D03F1" w:rsidRPr="00445A27" w:rsidRDefault="004D03F1" w:rsidP="00445A27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445A27" w:rsidRDefault="00445A27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</w:p>
    <w:p w:rsidR="004D03F1" w:rsidRPr="00445A27" w:rsidRDefault="004D03F1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  <w:r w:rsidRPr="00445A27"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  <w:t>ПОРЯДОК РЕЗЕРВИРОВАНИЯ ПЕРЕПЛАТЫ 2022</w:t>
      </w:r>
    </w:p>
    <w:p w:rsidR="004D03F1" w:rsidRPr="00445A27" w:rsidRDefault="004D03F1" w:rsidP="00445A27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Вся переплата плательщика, имеющаяся на 31.12.2022, за исключением переплаты свыше 3-х лет, включается в совокупную обязанность плательщика и остается на конкретных КБК.</w:t>
      </w:r>
    </w:p>
    <w:p w:rsidR="004D03F1" w:rsidRPr="00445A27" w:rsidRDefault="004D03F1" w:rsidP="00445A27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4D03F1" w:rsidRPr="00445A27" w:rsidRDefault="004D03F1" w:rsidP="00445A27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lastRenderedPageBreak/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Корректировка суммы обязанности возможна 2 способами:</w:t>
      </w:r>
    </w:p>
    <w:p w:rsidR="004D03F1" w:rsidRPr="00445A27" w:rsidRDefault="004D03F1" w:rsidP="00445A27">
      <w:pPr>
        <w:numPr>
          <w:ilvl w:val="1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начислений.</w:t>
      </w:r>
    </w:p>
    <w:p w:rsidR="004D03F1" w:rsidRPr="00445A27" w:rsidRDefault="004D03F1" w:rsidP="00445A27">
      <w:pPr>
        <w:numPr>
          <w:ilvl w:val="1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Уведомления в виде распоряжения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«ГД.00.2022».</w:t>
      </w:r>
    </w:p>
    <w:p w:rsidR="004D03F1" w:rsidRPr="00445A27" w:rsidRDefault="004D03F1" w:rsidP="00445A27">
      <w:pPr>
        <w:pBdr>
          <w:bottom w:val="single" w:sz="48" w:space="4" w:color="0066B3"/>
        </w:pBdr>
        <w:shd w:val="clear" w:color="auto" w:fill="FFFFFF"/>
        <w:spacing w:after="450" w:line="288" w:lineRule="atLeast"/>
        <w:jc w:val="both"/>
        <w:outlineLvl w:val="1"/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</w:pPr>
      <w:r w:rsidRPr="00445A27">
        <w:rPr>
          <w:rFonts w:ascii="Garamond" w:eastAsia="Times New Roman" w:hAnsi="Garamond" w:cs="Arial"/>
          <w:b/>
          <w:caps/>
          <w:color w:val="000000" w:themeColor="text1"/>
          <w:sz w:val="32"/>
          <w:szCs w:val="32"/>
          <w:lang w:eastAsia="ru-RU"/>
        </w:rPr>
        <w:t>СПОСОБ ИСПРАВЛЕНИЯ ОШИБКИ В УВЕДОМЛЕНИИ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4D03F1" w:rsidRPr="00445A27" w:rsidRDefault="004D03F1" w:rsidP="00445A27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4D03F1" w:rsidRPr="00445A27" w:rsidRDefault="004D03F1" w:rsidP="00445A27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4D03F1" w:rsidRPr="00445A27" w:rsidRDefault="004D03F1" w:rsidP="00445A27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</w:pPr>
      <w:r w:rsidRPr="00445A27">
        <w:rPr>
          <w:rFonts w:ascii="Garamond" w:eastAsia="Times New Roman" w:hAnsi="Garamond" w:cs="Arial"/>
          <w:color w:val="000000" w:themeColor="text1"/>
          <w:sz w:val="24"/>
          <w:szCs w:val="24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9D02CA" w:rsidRPr="00445A27" w:rsidRDefault="009D02CA" w:rsidP="00445A27">
      <w:pPr>
        <w:jc w:val="both"/>
        <w:rPr>
          <w:rFonts w:ascii="Garamond" w:hAnsi="Garamond"/>
          <w:color w:val="000000" w:themeColor="text1"/>
        </w:rPr>
      </w:pPr>
    </w:p>
    <w:sectPr w:rsidR="009D02CA" w:rsidRPr="00445A27" w:rsidSect="00445A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3AC"/>
    <w:multiLevelType w:val="multilevel"/>
    <w:tmpl w:val="81DC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84931"/>
    <w:multiLevelType w:val="multilevel"/>
    <w:tmpl w:val="655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023E2"/>
    <w:multiLevelType w:val="multilevel"/>
    <w:tmpl w:val="AB2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849AE"/>
    <w:multiLevelType w:val="multilevel"/>
    <w:tmpl w:val="95DC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B19D8"/>
    <w:multiLevelType w:val="multilevel"/>
    <w:tmpl w:val="59A6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B"/>
    <w:rsid w:val="00043816"/>
    <w:rsid w:val="001033EF"/>
    <w:rsid w:val="00145939"/>
    <w:rsid w:val="001F75E8"/>
    <w:rsid w:val="00271C2B"/>
    <w:rsid w:val="003B0A07"/>
    <w:rsid w:val="00445A27"/>
    <w:rsid w:val="004D03F1"/>
    <w:rsid w:val="005D2819"/>
    <w:rsid w:val="005E3448"/>
    <w:rsid w:val="0063548D"/>
    <w:rsid w:val="006B6919"/>
    <w:rsid w:val="006E167C"/>
    <w:rsid w:val="00951D0E"/>
    <w:rsid w:val="009D02CA"/>
    <w:rsid w:val="009F1A1A"/>
    <w:rsid w:val="00BF5DF1"/>
    <w:rsid w:val="00CC363E"/>
    <w:rsid w:val="00E51F46"/>
    <w:rsid w:val="00F2692B"/>
    <w:rsid w:val="00F431CF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1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29645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7430-14-258</dc:creator>
  <cp:keywords/>
  <dc:description/>
  <cp:lastModifiedBy>Иванова Татьяна Сергеевна</cp:lastModifiedBy>
  <cp:revision>4</cp:revision>
  <dcterms:created xsi:type="dcterms:W3CDTF">2023-01-16T07:44:00Z</dcterms:created>
  <dcterms:modified xsi:type="dcterms:W3CDTF">2023-02-02T12:27:00Z</dcterms:modified>
</cp:coreProperties>
</file>