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bCs/>
          <w:kern w:val="2"/>
          <w:sz w:val="25"/>
          <w:szCs w:val="25"/>
        </w:rPr>
      </w:pPr>
      <w:bookmarkStart w:id="0" w:name="_GoBack_Копия_1"/>
      <w:r>
        <w:rPr>
          <w:rFonts w:ascii="Calibri" w:hAnsi="Calibri"/>
          <w:kern w:val="2"/>
          <w:sz w:val="25"/>
          <w:szCs w:val="25"/>
        </w:rPr>
        <w:t>АДМИНИСТРАЦИЯ КОПЕЙСКОГО ГОРОДСКОГО ОКРУГА</w:t>
      </w:r>
    </w:p>
    <w:p>
      <w:pPr>
        <w:pStyle w:val="Normal"/>
        <w:keepNext w:val="true"/>
        <w:numPr>
          <w:ilvl w:val="0"/>
          <w:numId w:val="0"/>
        </w:numPr>
        <w:spacing w:before="240" w:after="60"/>
        <w:jc w:val="center"/>
        <w:outlineLvl w:val="0"/>
        <w:rPr>
          <w:rFonts w:ascii="Calibri" w:hAnsi="Calibri"/>
          <w:kern w:val="2"/>
          <w:sz w:val="25"/>
          <w:szCs w:val="25"/>
        </w:rPr>
      </w:pPr>
      <w:r>
        <w:rPr>
          <w:rFonts w:ascii="Calibri" w:hAnsi="Calibri"/>
          <w:kern w:val="2"/>
          <w:sz w:val="25"/>
          <w:szCs w:val="25"/>
        </w:rPr>
        <w:t>ЧЕЛЯБИНСКОЙ ОБЛАСТИ</w:t>
      </w:r>
    </w:p>
    <w:p>
      <w:pPr>
        <w:pStyle w:val="Normal"/>
        <w:jc w:val="center"/>
        <w:rPr>
          <w:rFonts w:ascii="Calibri" w:hAnsi="Calibri"/>
          <w:i/>
          <w:i/>
          <w:iCs/>
          <w:sz w:val="38"/>
          <w:szCs w:val="38"/>
        </w:rPr>
      </w:pPr>
      <w:bookmarkStart w:id="1" w:name="_GoBack_Копия_1"/>
      <w:r>
        <w:rPr>
          <w:rFonts w:ascii="Calibri" w:hAnsi="Calibri"/>
          <w:i/>
          <w:iCs/>
          <w:sz w:val="38"/>
          <w:szCs w:val="38"/>
        </w:rPr>
        <w:t>П О С Т А Н О В Л Е Н И Е</w:t>
      </w:r>
      <w:bookmarkEnd w:id="1"/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widowControl/>
        <w:bidi w:val="0"/>
        <w:spacing w:before="0" w:after="0"/>
        <w:ind w:hanging="0" w:left="1134" w:right="0"/>
        <w:jc w:val="left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20.08.2026</w:t>
        <w:tab/>
        <w:t>№2879-п</w:t>
      </w:r>
    </w:p>
    <w:p>
      <w:pPr>
        <w:pStyle w:val="Normal"/>
        <w:ind w:left="1162" w:right="5575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ind w:left="1162" w:right="5575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ind w:left="1162" w:right="5575"/>
        <w:rPr>
          <w:color w:val="FF0000"/>
          <w:sz w:val="28"/>
          <w:szCs w:val="28"/>
        </w:rPr>
      </w:pPr>
      <w:r>
        <w:rPr>
          <w:color w:val="FF0000"/>
          <w:sz w:val="28"/>
          <w:szCs w:val="28"/>
        </w:rPr>
      </w:r>
    </w:p>
    <w:p>
      <w:pPr>
        <w:pStyle w:val="Normal"/>
        <w:ind w:left="1162" w:right="4279"/>
        <w:rPr>
          <w:sz w:val="28"/>
          <w:szCs w:val="28"/>
        </w:rPr>
      </w:pPr>
      <w:r>
        <w:rPr>
          <w:sz w:val="28"/>
          <w:szCs w:val="28"/>
        </w:rPr>
        <w:t>Об  ограничении  движения  транспортных средств   в  период  проведения    массовых мероприятий, посвященных  празднованию</w:t>
      </w:r>
    </w:p>
    <w:p>
      <w:pPr>
        <w:pStyle w:val="Normal"/>
        <w:ind w:left="1162" w:right="4421"/>
        <w:rPr>
          <w:sz w:val="28"/>
          <w:szCs w:val="28"/>
        </w:rPr>
      </w:pPr>
      <w:r>
        <w:rPr>
          <w:sz w:val="28"/>
          <w:szCs w:val="28"/>
        </w:rPr>
        <w:t>119-летия города Копейска и Дня шахтера</w:t>
      </w:r>
    </w:p>
    <w:p>
      <w:pPr>
        <w:pStyle w:val="Normal"/>
        <w:ind w:left="1162" w:right="5575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 w:left="1162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Федеральным законом от 08 ноября 2007 года                                     № 257-ФЗ «Об автомобильных дорогах и о дорожной деятельности                                в Российской Федерации и о внесении изменений в отдельные законодательные акты Российской Федерации», приказом Министерства транспорта Российской Федерации от 12.08.2011 № 211 «Об утверждении  По</w:t>
      </w:r>
      <w:bookmarkStart w:id="2" w:name="_GoBack"/>
      <w:bookmarkEnd w:id="2"/>
      <w:r>
        <w:rPr>
          <w:sz w:val="28"/>
          <w:szCs w:val="28"/>
        </w:rPr>
        <w:t xml:space="preserve">рядка осуществления временных ограничений или прекращения движения транспортных средств по автомобильным дорогам федерального значения и частным автомобильным дорогам», Уставом муниципального образования «Копейский городской округ», в целях обеспечения общественной безопасности, обеспечения безопасности дорожного движения в период проведения массовых мероприятий, посвященных празднованию 119 – летия города Копейска и Дня шахтера, администрация Копейского городского округа </w:t>
      </w:r>
    </w:p>
    <w:p>
      <w:pPr>
        <w:pStyle w:val="Normal"/>
        <w:ind w:hanging="82" w:left="116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>ПОСТАНОВЛЯЕТ:</w:t>
      </w:r>
    </w:p>
    <w:p>
      <w:pPr>
        <w:pStyle w:val="Normal"/>
        <w:ind w:firstLine="709" w:left="1162"/>
        <w:jc w:val="both"/>
        <w:rPr>
          <w:sz w:val="28"/>
          <w:szCs w:val="28"/>
        </w:rPr>
      </w:pPr>
      <w:r>
        <w:rPr>
          <w:sz w:val="28"/>
          <w:szCs w:val="28"/>
        </w:rPr>
        <w:t>1. Временно ограничить на территории Копейского городского округа движение транспортных средств, в том числе общественного транспорта, на период проведения массовых мероприятий 29 августа 2026 года:</w:t>
      </w:r>
    </w:p>
    <w:p>
      <w:pPr>
        <w:pStyle w:val="Normal"/>
        <w:ind w:firstLine="709" w:left="1162"/>
        <w:jc w:val="both"/>
        <w:rPr>
          <w:sz w:val="28"/>
          <w:szCs w:val="28"/>
        </w:rPr>
      </w:pPr>
      <w:r>
        <w:rPr>
          <w:sz w:val="28"/>
          <w:szCs w:val="28"/>
        </w:rPr>
        <w:t>- с 9.00 до 24.00 часов выезд с автомойки и стоянки у ТРК «Слава»,                      пр. Славы (четная сторона) до пересечения с пр. Победы, включая парковки                и въезды на них у торгового комплекса «Слава», со стороны ул. Жданова;</w:t>
      </w:r>
    </w:p>
    <w:p>
      <w:pPr>
        <w:pStyle w:val="Normal"/>
        <w:ind w:firstLine="709" w:left="1162"/>
        <w:jc w:val="both"/>
        <w:rPr>
          <w:sz w:val="28"/>
          <w:szCs w:val="28"/>
        </w:rPr>
      </w:pPr>
      <w:r>
        <w:rPr>
          <w:sz w:val="28"/>
          <w:szCs w:val="28"/>
        </w:rPr>
        <w:t>- с 16.00 до 24.00 часов проезжая часть между домами 13-20 по                          пр. Победы в районе магазина «Полет», перекресток пр. Славы – пр. Победы (нечетная сторона) до перекрестка пер. Свободы – пр. Славы;</w:t>
      </w:r>
    </w:p>
    <w:p>
      <w:pPr>
        <w:pStyle w:val="Normal"/>
        <w:ind w:firstLine="709" w:left="1162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Отделу МВД России по городу Копейску (Горохов В.Г.) обеспечить контроль за соблюдением водителями транспортных средств, в том числе общественного транспорта, установленных ограничений.</w:t>
        <w:tab/>
      </w:r>
    </w:p>
    <w:p>
      <w:pPr>
        <w:pStyle w:val="Normal"/>
        <w:ind w:firstLine="709" w:left="1162"/>
        <w:jc w:val="both"/>
        <w:rPr>
          <w:sz w:val="28"/>
          <w:szCs w:val="28"/>
        </w:rPr>
      </w:pPr>
      <w:r>
        <w:rPr>
          <w:sz w:val="28"/>
          <w:szCs w:val="28"/>
        </w:rPr>
        <w:t>3. Отделу по безопасности и взаимодействию с правоохранительными органами администрации Копейского городского округа (Постолюк Е.И.) согласовать  выдачу специальных пропусков для транспорта, непосредственно задействованного в обеспечении подготовки и проведения праздничных мероприятий.</w:t>
      </w:r>
    </w:p>
    <w:p>
      <w:pPr>
        <w:pStyle w:val="Normal"/>
        <w:ind w:firstLine="709" w:left="1162"/>
        <w:jc w:val="both"/>
        <w:rPr>
          <w:sz w:val="28"/>
          <w:szCs w:val="28"/>
        </w:rPr>
      </w:pPr>
      <w:r>
        <w:rPr>
          <w:sz w:val="28"/>
          <w:szCs w:val="28"/>
        </w:rPr>
        <w:t>4. Отделу пресс-службы администрации Копейского городского округа                                (Петренко Е.А) опубликовать настоящее постановление в порядке, установленном для официального опубликования муниципальных правовых актов, и разместить на сайте администрации Копейского городского округа                  в сети Интернет.</w:t>
      </w:r>
    </w:p>
    <w:p>
      <w:pPr>
        <w:pStyle w:val="Normal"/>
        <w:ind w:firstLine="709" w:left="1162"/>
        <w:jc w:val="both"/>
        <w:rPr>
          <w:sz w:val="28"/>
          <w:szCs w:val="28"/>
        </w:rPr>
      </w:pPr>
      <w:r>
        <w:rPr>
          <w:sz w:val="28"/>
          <w:szCs w:val="28"/>
        </w:rPr>
        <w:t>5. Отделу бухгалтерского учета и отчетности администрации Копейского городского округа (Шульгина И.Ю.) возместить расходы, связанные                               с опубликованием настоящего постановления, за счет средств, предусмотренных на эти цели.</w:t>
      </w:r>
    </w:p>
    <w:p>
      <w:pPr>
        <w:pStyle w:val="Normal"/>
        <w:ind w:firstLine="709" w:left="1162"/>
        <w:jc w:val="both"/>
        <w:rPr>
          <w:sz w:val="28"/>
          <w:szCs w:val="28"/>
        </w:rPr>
      </w:pPr>
      <w:r>
        <w:rPr>
          <w:sz w:val="28"/>
          <w:szCs w:val="28"/>
        </w:rPr>
        <w:t>6. Контроль исполнения настоящего постановления возложить на заместителя Главы городского округа по жилищно-коммунальным вопросам                         Филиппова А.С.</w:t>
      </w:r>
    </w:p>
    <w:p>
      <w:pPr>
        <w:pStyle w:val="Normal"/>
        <w:ind w:firstLine="709" w:left="1162"/>
        <w:jc w:val="both"/>
        <w:rPr>
          <w:sz w:val="28"/>
          <w:szCs w:val="28"/>
        </w:rPr>
      </w:pPr>
      <w:r>
        <w:rPr>
          <w:sz w:val="28"/>
          <w:szCs w:val="28"/>
        </w:rPr>
        <w:t>7. Настоящее постановление вступает в силу со дня официального опубликования.</w:t>
      </w:r>
    </w:p>
    <w:p>
      <w:pPr>
        <w:pStyle w:val="Normal"/>
        <w:ind w:firstLine="709" w:left="1162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firstLine="709" w:left="1162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1162"/>
        <w:jc w:val="both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ind w:left="1162"/>
        <w:jc w:val="both"/>
        <w:rPr>
          <w:sz w:val="28"/>
          <w:szCs w:val="28"/>
        </w:rPr>
      </w:pPr>
      <w:r>
        <w:rPr>
          <w:sz w:val="28"/>
          <w:szCs w:val="28"/>
        </w:rPr>
        <w:t>Временно исполняющий полномочия</w:t>
      </w:r>
    </w:p>
    <w:p>
      <w:pPr>
        <w:pStyle w:val="Normal"/>
        <w:ind w:left="1162"/>
        <w:jc w:val="both"/>
        <w:rPr>
          <w:sz w:val="28"/>
          <w:szCs w:val="28"/>
        </w:rPr>
      </w:pPr>
      <w:r>
        <w:rPr>
          <w:sz w:val="28"/>
          <w:szCs w:val="28"/>
        </w:rPr>
        <w:t>Главы городского округа                                                                   А.Н. Арасланов</w:t>
      </w:r>
    </w:p>
    <w:sectPr>
      <w:headerReference w:type="even" r:id="rId2"/>
      <w:headerReference w:type="default" r:id="rId3"/>
      <w:headerReference w:type="first" r:id="rId4"/>
      <w:type w:val="nextPage"/>
      <w:pgSz w:w="11906" w:h="16838"/>
      <w:pgMar w:left="540" w:right="566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default"/>
  </w:font>
  <w:font w:name="Arial">
    <w:charset w:val="01"/>
    <w:family w:val="swiss"/>
    <w:pitch w:val="default"/>
  </w:font>
  <w:font w:name="PT Astra Serif">
    <w:charset w:val="01"/>
    <w:family w:val="roman"/>
    <w:pitch w:val="default"/>
  </w:font>
  <w:font w:name="Tahoma">
    <w:charset w:val="01"/>
    <w:family w:val="auto"/>
    <w:pitch w:val="default"/>
  </w:font>
  <w:font w:name="Calibri">
    <w:charset w:val="01"/>
    <w:family w:val="swiss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1" allowOverlap="1" relativeHeight="0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Врезка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4605" cy="1460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0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1.15pt;height:1.15pt;mso-wrap-distance-left:0pt;mso-wrap-distance-right:0pt;mso-wrap-distance-top:0pt;mso-wrap-distance-bottom:0pt;margin-top:0.05pt;mso-position-vertical-relative:text;margin-left:0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0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center"/>
      <w:rPr/>
    </w:pPr>
    <w:r>
      <w:rPr/>
    </w:r>
    <w:r>
      <mc:AlternateContent>
        <mc:Choice Requires="wps">
          <w:drawing>
            <wp:anchor behindDoc="0" distT="0" distB="0" distL="0" distR="0" simplePos="0" locked="0" layoutInCell="0" allowOverlap="1" relativeHeight="2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76835" cy="175260"/>
              <wp:effectExtent l="0" t="0" r="0" b="0"/>
              <wp:wrapSquare wrapText="bothSides"/>
              <wp:docPr id="2" name="Врезка3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6835" cy="17526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Header"/>
                            <w:pBdr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</w:rPr>
                            <w:t>2</w:t>
                          </w:r>
                          <w:r>
                            <w:rPr>
                              <w:rStyle w:val="PageNumber"/>
                            </w:rPr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-0;width:6.05pt;height:13.8pt;mso-wrap-distance-left:0pt;mso-wrap-distance-right:0pt;mso-wrap-distance-top:0pt;mso-wrap-distance-bottom:0pt;margin-top:0.05pt;mso-position-vertical-relative:text;margin-left:267pt;mso-position-horizontal:center;mso-position-horizontal-relative:margin">
              <v:fill opacity="0f"/>
              <v:textbox inset="0in,0in,0in,0in">
                <w:txbxContent>
                  <w:p>
                    <w:pPr>
                      <w:pStyle w:val="Header"/>
                      <w:pBdr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fldChar w:fldCharType="begin"/>
                    </w:r>
                    <w:r>
                      <w:rPr>
                        <w:rStyle w:val="PageNumber"/>
                      </w:rPr>
                      <w:instrText xml:space="preserve"> PAGE </w:instrText>
                    </w:r>
                    <w:r>
                      <w:rPr>
                        <w:rStyle w:val="PageNumber"/>
                      </w:rPr>
                      <w:fldChar w:fldCharType="separate"/>
                    </w:r>
                    <w:r>
                      <w:rPr>
                        <w:rStyle w:val="PageNumber"/>
                      </w:rPr>
                      <w:t>2</w:t>
                    </w:r>
                    <w:r>
                      <w:rPr>
                        <w:rStyle w:val="PageNumber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ru-RU" w:eastAsia="zh-CN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4"/>
      <w:lang w:eastAsia="ru-RU" w:val="ru-RU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Название Знак"/>
    <w:uiPriority w:val="10"/>
    <w:qFormat/>
    <w:rPr>
      <w:sz w:val="48"/>
      <w:szCs w:val="48"/>
    </w:rPr>
  </w:style>
  <w:style w:type="character" w:styleId="Style6" w:customStyle="1">
    <w:name w:val="Подзаголовок Знак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Style10" w:customStyle="1">
    <w:name w:val="Название объекта Знак"/>
    <w:uiPriority w:val="35"/>
    <w:qFormat/>
    <w:rPr>
      <w:b/>
      <w:bCs/>
      <w:color w:themeColor="accent1" w:val="4F81BD"/>
      <w:sz w:val="18"/>
      <w:szCs w:val="18"/>
    </w:rPr>
  </w:style>
  <w:style w:type="character" w:styleId="Hyperlink">
    <w:name w:val="Hyperlink"/>
    <w:uiPriority w:val="99"/>
    <w:unhideWhenUsed/>
    <w:rPr>
      <w:color w:themeColor="hyperlink" w:val="0000FF"/>
      <w:u w:val="single"/>
    </w:rPr>
  </w:style>
  <w:style w:type="character" w:styleId="Style11" w:customStyle="1">
    <w:name w:val="Текст сноски Знак"/>
    <w:uiPriority w:val="99"/>
    <w:qFormat/>
    <w:rPr>
      <w:sz w:val="18"/>
    </w:rPr>
  </w:style>
  <w:style w:type="character" w:styleId="Style12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3" w:customStyle="1">
    <w:name w:val="Текст концевой сноски Знак"/>
    <w:uiPriority w:val="99"/>
    <w:qFormat/>
    <w:rPr>
      <w:sz w:val="20"/>
    </w:rPr>
  </w:style>
  <w:style w:type="character" w:styleId="Style14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PageNumber">
    <w:name w:val="page number"/>
    <w:basedOn w:val="DefaultParagraphFont"/>
    <w:rPr/>
  </w:style>
  <w:style w:type="paragraph" w:styleId="Style15">
    <w:name w:val="Заголовок"/>
    <w:basedOn w:val="Normal"/>
    <w:next w:val="BodyText"/>
    <w:qFormat/>
    <w:pPr>
      <w:keepNext w:val="true"/>
      <w:spacing w:before="240" w:after="120"/>
    </w:pPr>
    <w:rPr>
      <w:rFonts w:ascii="PT Astra Serif" w:hAnsi="PT Astra Serif" w:eastAsia="Noto Sans CJK SC" w:cs="Free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ascii="PT Astra Serif" w:hAnsi="PT Astra Serif" w:cs="FreeSans"/>
    </w:rPr>
  </w:style>
  <w:style w:type="paragraph" w:styleId="Caption">
    <w:name w:val="caption"/>
    <w:basedOn w:val="Normal"/>
    <w:next w:val="Normal"/>
    <w:link w:val="Style10"/>
    <w:uiPriority w:val="35"/>
    <w:semiHidden/>
    <w:unhideWhenUsed/>
    <w:qFormat/>
    <w:pPr>
      <w:spacing w:lineRule="auto" w:line="276"/>
    </w:pPr>
    <w:rPr>
      <w:b/>
      <w:bCs/>
      <w:color w:themeColor="accent1" w:val="4F81BD"/>
      <w:sz w:val="18"/>
      <w:szCs w:val="18"/>
    </w:rPr>
  </w:style>
  <w:style w:type="paragraph" w:styleId="Style16">
    <w:name w:val="Указатель"/>
    <w:basedOn w:val="Normal"/>
    <w:qFormat/>
    <w:pPr>
      <w:suppressLineNumbers/>
    </w:pPr>
    <w:rPr>
      <w:rFonts w:ascii="PT Astra Serif" w:hAnsi="PT Astra Serif" w:cs="FreeSans"/>
    </w:rPr>
  </w:style>
  <w:style w:type="paragraph" w:styleId="ListParagraph">
    <w:name w:val="List Paragraph"/>
    <w:basedOn w:val="Normal"/>
    <w:uiPriority w:val="34"/>
    <w:qFormat/>
    <w:pPr>
      <w:spacing w:before="0" w:after="0"/>
      <w:ind w:left="720"/>
      <w:contextualSpacing/>
    </w:pPr>
    <w:rPr/>
  </w:style>
  <w:style w:type="paragraph" w:styleId="NoSpacing">
    <w:name w:val="No Spacing"/>
    <w:uiPriority w:val="1"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/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link w:val="Style9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noteText">
    <w:name w:val="footnote text"/>
    <w:basedOn w:val="Normal"/>
    <w:link w:val="Style11"/>
    <w:uiPriority w:val="99"/>
    <w:semiHidden/>
    <w:unhideWhenUsed/>
    <w:pPr>
      <w:spacing w:before="0" w:after="40"/>
    </w:pPr>
    <w:rPr>
      <w:sz w:val="18"/>
    </w:rPr>
  </w:style>
  <w:style w:type="paragraph" w:styleId="EndnoteText">
    <w:name w:val="endnote text"/>
    <w:basedOn w:val="Normal"/>
    <w:link w:val="Style13"/>
    <w:uiPriority w:val="99"/>
    <w:semiHidden/>
    <w:unhideWhenUsed/>
    <w:pPr/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5"/>
    <w:pPr/>
    <w:rPr/>
  </w:style>
  <w:style w:type="paragraph" w:styleId="TOCHeading">
    <w:name w:val="TOC Heading"/>
    <w:uiPriority w:val="39"/>
    <w:unhideWhenUsed/>
    <w:qFormat/>
    <w:pPr>
      <w:widowControl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ru-RU" w:eastAsia="zh-CN" w:bidi="ar-SA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BalloonText">
    <w:name w:val="Balloon Text"/>
    <w:basedOn w:val="Normal"/>
    <w:semiHidden/>
    <w:qFormat/>
    <w:pPr/>
    <w:rPr>
      <w:rFonts w:ascii="Tahoma" w:hAnsi="Tahoma" w:cs="Tahoma"/>
      <w:sz w:val="16"/>
      <w:szCs w:val="16"/>
    </w:rPr>
  </w:style>
  <w:style w:type="paragraph" w:styleId="ConsPlusNormal" w:customStyle="1">
    <w:name w:val="ConsPlusNormal"/>
    <w:qFormat/>
    <w:pPr>
      <w:widowControl w:val="false"/>
      <w:bidi w:val="0"/>
      <w:spacing w:before="0" w:after="0"/>
      <w:ind w:firstLine="720"/>
      <w:jc w:val="left"/>
    </w:pPr>
    <w:rPr>
      <w:rFonts w:ascii="Arial" w:hAnsi="Arial" w:cs="Arial" w:eastAsia="Times New Roman"/>
      <w:color w:val="auto"/>
      <w:kern w:val="0"/>
      <w:sz w:val="20"/>
      <w:szCs w:val="20"/>
      <w:lang w:eastAsia="ru-RU" w:val="ru-RU" w:bidi="ar-SA"/>
    </w:rPr>
  </w:style>
  <w:style w:type="paragraph" w:styleId="Style17">
    <w:name w:val="Содержимое врезки"/>
    <w:basedOn w:val="Normal"/>
    <w:qFormat/>
    <w:pPr/>
    <w:rPr/>
  </w:style>
  <w:style w:type="numbering" w:styleId="Style18" w:default="1">
    <w:name w:val="Без списка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1">
    <w:name w:val="Table Grid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eGridLight">
    <w:name w:val="Table Grid Light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23">
    <w:name w:val="Plain Table 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41">
    <w:name w:val="Plain Table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51">
    <w:name w:val="Plain Table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-1">
    <w:name w:val="Grid Table 1 Light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97B4D8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DA989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C4D79D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B4A4C8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95CEDD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bottom w:val="single" w:color="FAC192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D8AC2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D8AC2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5F1" w:fill="DAE5F1" w:themeFill="accent1" w:themeFillTint="34"/>
      </w:tcPr>
    </w:tblStylePr>
    <w:tblStylePr w:type="band1Horz">
      <w:rPr>
        <w:sz w:val="22"/>
      </w:rPr>
      <w:tblPr/>
      <w:tcPr>
        <w:shd w:val="clear" w:color="DAE5F1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5D8AC2" w:themeColor="accent1" w:sz="4" w:space="0"/>
          <w:left w:val="single" w:color="5D8AC2" w:themeColor="accent1" w:sz="4" w:space="0"/>
          <w:bottom w:val="single" w:color="5D8AC2" w:themeColor="accent1" w:sz="4" w:space="0"/>
          <w:right w:val="single" w:color="5D8AC2" w:themeColor="accent1" w:sz="4" w:space="0"/>
        </w:tcBorders>
        <w:shd w:val="clear" w:color="5D8AC2" w:fill="5D8AC2" w:themeFill="accent1" w:themeFillTint="ea"/>
      </w:tcPr>
    </w:tblStylePr>
    <w:tblStylePr w:type="lastRow">
      <w:rPr>
        <w:b/>
      </w:rPr>
      <w:tblPr/>
      <w:tcPr>
        <w:tcBorders>
          <w:top w:val="single" w:color="5D8AC2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CE6F2" w:fill="DCE6F2" w:themeFill="accent1" w:themeFillTint="32"/>
      </w:tcPr>
    </w:tblStylePr>
    <w:tblStylePr w:type="band1Horz">
      <w:rPr>
        <w:sz w:val="22"/>
      </w:rPr>
      <w:tblPr/>
      <w:tcPr>
        <w:shd w:val="clear" w:color="DCE6F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D99695" w:themeColor="accent2" w:sz="4" w:space="0"/>
          <w:left w:val="single" w:color="D99695" w:themeColor="accent2" w:sz="4" w:space="0"/>
          <w:bottom w:val="single" w:color="D99695" w:themeColor="accent2" w:sz="4" w:space="0"/>
          <w:right w:val="single" w:color="D99695" w:themeColor="accent2" w:sz="4" w:space="0"/>
        </w:tcBorders>
        <w:shd w:val="clear" w:color="D99695" w:fill="D99695" w:themeFill="accent2" w:themeFillTint="97"/>
      </w:tcPr>
    </w:tblStylePr>
    <w:tblStylePr w:type="lastRow">
      <w:rPr>
        <w:b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ABB59" w:themeColor="accent3" w:sz="4" w:space="0"/>
          <w:left w:val="single" w:color="9ABB59" w:themeColor="accent3" w:sz="4" w:space="0"/>
          <w:bottom w:val="single" w:color="9ABB59" w:themeColor="accent3" w:sz="4" w:space="0"/>
          <w:right w:val="single" w:color="9ABB59" w:themeColor="accent3" w:sz="4" w:space="0"/>
        </w:tcBorders>
        <w:shd w:val="clear" w:color="9ABB59" w:fill="9ABB59" w:themeFill="accent3" w:themeFillTint="fe"/>
      </w:tcPr>
    </w:tblStylePr>
    <w:tblStylePr w:type="lastRow">
      <w:rPr>
        <w:b/>
      </w:rPr>
      <w:tblPr/>
      <w:tcPr>
        <w:tcBorders>
          <w:top w:val="single" w:color="9ABB59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B2A1C6" w:themeColor="accent4" w:sz="4" w:space="0"/>
          <w:left w:val="single" w:color="B2A1C6" w:themeColor="accent4" w:sz="4" w:space="0"/>
          <w:bottom w:val="single" w:color="B2A1C6" w:themeColor="accent4" w:sz="4" w:space="0"/>
          <w:right w:val="single" w:color="B2A1C6" w:themeColor="accent4" w:sz="4" w:space="0"/>
        </w:tcBorders>
        <w:shd w:val="clear" w:color="B2A1C6" w:fill="B2A1C6" w:themeFill="accent4" w:themeFillTint="9a"/>
      </w:tcPr>
    </w:tblStylePr>
    <w:tblStylePr w:type="lastRow">
      <w:rPr>
        <w:b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  <w:shd w:val="clear" w:color="4BACC6" w:fill="4BACC6" w:themeFill="accent5"/>
      </w:tcPr>
    </w:tblStylePr>
    <w:tblStylePr w:type="lastRow">
      <w:rPr>
        <w:b/>
      </w:rPr>
      <w:tblPr/>
      <w:tcPr>
        <w:tcBorders>
          <w:top w:val="single" w:color="4BACC6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  <w:shd w:val="clear" w:color="F79646" w:fill="F79646" w:themeFill="accent6"/>
      </w:tcPr>
    </w:tblStylePr>
    <w:tblStylePr w:type="lastRow">
      <w:rPr>
        <w:b/>
      </w:rPr>
      <w:tblPr/>
      <w:tcPr>
        <w:tcBorders>
          <w:top w:val="single" w:color="F79646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  <w:tcPr>
        <w:shd w:val="clear" w:color="FDE9D8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F81BD" w:fill="4F81BD" w:themeFill="accent1"/>
      </w:tcPr>
    </w:tblStylePr>
    <w:tblStylePr w:type="firstCol">
      <w:rPr>
        <w:b/>
        <w:sz w:val="22"/>
      </w:rPr>
      <w:tblPr/>
      <w:tcPr>
        <w:shd w:val="clear" w:color="4F81BD" w:fill="4F81BD" w:themeFill="accent1"/>
      </w:tcPr>
    </w:tblStylePr>
    <w:tblStylePr w:type="lastCol">
      <w:rPr>
        <w:b/>
        <w:sz w:val="22"/>
      </w:rPr>
      <w:tblPr/>
      <w:tcPr>
        <w:shd w:val="clear" w:color="4F81BD" w:fill="4F81BD" w:themeFill="accent1"/>
      </w:tcPr>
    </w:tblStylePr>
    <w:tblStylePr w:type="band1Vert">
      <w:tblPr/>
      <w:tcPr>
        <w:shd w:val="clear" w:color="AEC4E0" w:fill="AEC4E0" w:themeFill="accent1" w:themeFillTint="75"/>
      </w:tcPr>
    </w:tblStylePr>
    <w:tblStylePr w:type="band1Horz">
      <w:tblPr/>
      <w:tcPr>
        <w:shd w:val="clear" w:color="AEC4E0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C0504D" w:fill="C0504D" w:themeFill="accent2"/>
      </w:tcPr>
    </w:tblStylePr>
    <w:tblStylePr w:type="firstCol">
      <w:rPr>
        <w:b/>
        <w:sz w:val="22"/>
      </w:rPr>
      <w:tblPr/>
      <w:tcPr>
        <w:shd w:val="clear" w:color="C0504D" w:fill="C0504D" w:themeFill="accent2"/>
      </w:tcPr>
    </w:tblStylePr>
    <w:tblStylePr w:type="lastCol">
      <w:rPr>
        <w:b/>
        <w:sz w:val="22"/>
      </w:rPr>
      <w:tblPr/>
      <w:tcPr>
        <w:shd w:val="clear" w:color="C0504D" w:fill="C0504D" w:themeFill="accent2"/>
      </w:tcPr>
    </w:tblStylePr>
    <w:tblStylePr w:type="band1Vert">
      <w:tblPr/>
      <w:tcPr>
        <w:shd w:val="clear" w:color="E2AEAD" w:fill="E2AEAD" w:themeFill="accent2" w:themeFillTint="75"/>
      </w:tcPr>
    </w:tblStylePr>
    <w:tblStylePr w:type="band1Horz">
      <w:tblPr/>
      <w:tcPr>
        <w:shd w:val="clear" w:color="E2AEAD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9BBB59" w:fill="9BBB59" w:themeFill="accent3"/>
      </w:tcPr>
    </w:tblStylePr>
    <w:tblStylePr w:type="firstCol">
      <w:rPr>
        <w:b/>
        <w:sz w:val="22"/>
      </w:rPr>
      <w:tblPr/>
      <w:tcPr>
        <w:shd w:val="clear" w:color="9BBB59" w:fill="9BBB59" w:themeFill="accent3"/>
      </w:tcPr>
    </w:tblStylePr>
    <w:tblStylePr w:type="lastCol">
      <w:rPr>
        <w:b/>
        <w:sz w:val="22"/>
      </w:rPr>
      <w:tblPr/>
      <w:tcPr>
        <w:shd w:val="clear" w:color="9BBB59" w:fill="9BBB59" w:themeFill="accent3"/>
      </w:tcPr>
    </w:tblStylePr>
    <w:tblStylePr w:type="band1Vert">
      <w:tblPr/>
      <w:tcPr>
        <w:shd w:val="clear" w:color="D0DFB2" w:fill="D0DFB2" w:themeFill="accent3" w:themeFillTint="75"/>
      </w:tcPr>
    </w:tblStylePr>
    <w:tblStylePr w:type="band1Horz">
      <w:tblPr/>
      <w:tcPr>
        <w:shd w:val="clear" w:color="D0DFB2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8064A2" w:fill="8064A2" w:themeFill="accent4"/>
      </w:tcPr>
    </w:tblStylePr>
    <w:tblStylePr w:type="firstCol">
      <w:rPr>
        <w:b/>
        <w:sz w:val="22"/>
      </w:rPr>
      <w:tblPr/>
      <w:tcPr>
        <w:shd w:val="clear" w:color="8064A2" w:fill="8064A2" w:themeFill="accent4"/>
      </w:tcPr>
    </w:tblStylePr>
    <w:tblStylePr w:type="lastCol">
      <w:rPr>
        <w:b/>
        <w:sz w:val="22"/>
      </w:rPr>
      <w:tblPr/>
      <w:tcPr>
        <w:shd w:val="clear" w:color="8064A2" w:fill="8064A2" w:themeFill="accent4"/>
      </w:tcPr>
    </w:tblStylePr>
    <w:tblStylePr w:type="band1Vert">
      <w:tblPr/>
      <w:tcPr>
        <w:shd w:val="clear" w:color="C4B7D4" w:fill="C4B7D4" w:themeFill="accent4" w:themeFillTint="75"/>
      </w:tcPr>
    </w:tblStylePr>
    <w:tblStylePr w:type="band1Horz">
      <w:tblPr/>
      <w:tcPr>
        <w:shd w:val="clear" w:color="C4B7D4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BACC6" w:fill="4BACC6" w:themeFill="accent5"/>
      </w:tcPr>
    </w:tblStylePr>
    <w:tblStylePr w:type="firstCol">
      <w:rPr>
        <w:b/>
        <w:sz w:val="22"/>
      </w:rPr>
      <w:tblPr/>
      <w:tcPr>
        <w:shd w:val="clear" w:color="4BACC6" w:fill="4BACC6" w:themeFill="accent5"/>
      </w:tcPr>
    </w:tblStylePr>
    <w:tblStylePr w:type="lastCol">
      <w:rPr>
        <w:b/>
        <w:sz w:val="22"/>
      </w:rPr>
      <w:tblPr/>
      <w:tcPr>
        <w:shd w:val="clear" w:color="4BACC6" w:fill="4BACC6" w:themeFill="accent5"/>
      </w:tcPr>
    </w:tblStylePr>
    <w:tblStylePr w:type="band1Vert">
      <w:tblPr/>
      <w:tcPr>
        <w:shd w:val="clear" w:color="ACD8E4" w:fill="ACD8E4" w:themeFill="accent5" w:themeFillTint="75"/>
      </w:tcPr>
    </w:tblStylePr>
    <w:tblStylePr w:type="band1Horz">
      <w:tblPr/>
      <w:tcPr>
        <w:shd w:val="clear" w:color="ACD8E4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79646" w:fill="F79646" w:themeFill="accent6"/>
      </w:tcPr>
    </w:tblStylePr>
    <w:tblStylePr w:type="firstCol">
      <w:rPr>
        <w:b/>
        <w:sz w:val="22"/>
      </w:rPr>
      <w:tblPr/>
      <w:tcPr>
        <w:shd w:val="clear" w:color="F79646" w:fill="F79646" w:themeFill="accent6"/>
      </w:tcPr>
    </w:tblStylePr>
    <w:tblStylePr w:type="lastCol">
      <w:rPr>
        <w:b/>
        <w:sz w:val="22"/>
      </w:rPr>
      <w:tblPr/>
      <w:tcPr>
        <w:shd w:val="clear" w:color="F79646" w:fill="F79646" w:themeFill="accent6"/>
      </w:tcPr>
    </w:tblStylePr>
    <w:tblStylePr w:type="band1Vert">
      <w:tblPr/>
      <w:tcPr>
        <w:shd w:val="clear" w:color="FBCEAA" w:fill="FBCEAA" w:themeFill="accent6" w:themeFillTint="75"/>
      </w:tcPr>
    </w:tblStylePr>
    <w:tblStylePr w:type="band1Horz">
      <w:tblPr/>
      <w:tcPr>
        <w:shd w:val="clear" w:color="FBCEAA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Tint="80" w:themeShade="95"/>
      </w:rPr>
      <w:tblPr/>
      <w:tcPr>
        <w:tcBorders>
          <w:bottom w:val="single" w:color="A6BFDD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fe" w:themeShade="95"/>
      </w:rPr>
      <w:tblPr/>
      <w:tcPr>
        <w:tcBorders>
          <w:bottom w:val="single" w:color="9ABB59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4BACC6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</w:rPr>
      <w:tblPr/>
      <w:tcPr>
        <w:tcBorders>
          <w:bottom w:val="single" w:color="F79646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6BFD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6BFD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A6BFD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5F1" w:fill="DAE5F1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AE5F1" w:fill="DAE5F1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DCDC" w:fill="F2DCDC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2DCDC" w:fill="F2DCDC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ABB5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9A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9ABB5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AF1DC" w:fill="EAF1D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AF1DC" w:fill="EAF1D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DFEC" w:fill="E5DFEC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E5DFEC" w:fill="E5DFEC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99D0DE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EF3" w:fill="DAEE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AEEF3" w:fill="DAEE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FAC396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9D8" w:fill="FDE9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DE9D8" w:fill="FDE9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tblPr/>
      <w:tcPr>
        <w:shd w:val="clear" w:color="D2DFEE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tblPr/>
      <w:tcPr>
        <w:shd w:val="clear" w:color="EFD2D2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tblPr/>
      <w:tcPr>
        <w:shd w:val="clear" w:color="E5EED5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tblPr/>
      <w:tcPr>
        <w:shd w:val="clear" w:color="DFD8E7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tblPr/>
      <w:tcPr>
        <w:shd w:val="clear" w:color="D1EAF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tblPr/>
      <w:tcPr>
        <w:shd w:val="clear" w:color="FDE4D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BB7D9" w:themeColor="accent1" w:sz="4" w:space="0"/>
          <w:left w:val="none" w:color="000000" w:sz="4" w:space="0"/>
          <w:bottom w:val="single" w:color="9BB7D9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DB9B9A" w:themeColor="accent2" w:sz="4" w:space="0"/>
          <w:left w:val="none" w:color="000000" w:sz="4" w:space="0"/>
          <w:bottom w:val="single" w:color="DB9B9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6D8A1" w:themeColor="accent3" w:sz="4" w:space="0"/>
          <w:left w:val="none" w:color="000000" w:sz="4" w:space="0"/>
          <w:bottom w:val="single" w:color="C6D8A1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B7A7CA" w:themeColor="accent4" w:sz="4" w:space="0"/>
          <w:left w:val="none" w:color="000000" w:sz="4" w:space="0"/>
          <w:bottom w:val="single" w:color="B7A7CA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9D0DE" w:themeColor="accent5" w:sz="4" w:space="0"/>
          <w:left w:val="none" w:color="000000" w:sz="4" w:space="0"/>
          <w:bottom w:val="single" w:color="99D0DE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AC396" w:themeColor="accent6" w:sz="4" w:space="0"/>
          <w:left w:val="none" w:color="000000" w:sz="4" w:space="0"/>
          <w:bottom w:val="single" w:color="FAC396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D99695" w:themeColor="accent2" w:sz="4" w:space="0"/>
          <w:right w:val="single" w:color="D99695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D99695" w:themeColor="accent2" w:sz="4" w:space="0"/>
          <w:bottom w:val="single" w:color="D99695" w:themeColor="accent2" w:sz="4" w:space="0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3D69B" w:fill="C3D69B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3D69B" w:themeColor="accent3" w:sz="4" w:space="0"/>
          <w:right w:val="single" w:color="C3D69B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3D69B" w:themeColor="accent3" w:sz="4" w:space="0"/>
          <w:bottom w:val="single" w:color="C3D69B" w:themeColor="accent3" w:sz="4" w:space="0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B2A1C6" w:themeColor="accent4" w:sz="4" w:space="0"/>
          <w:right w:val="single" w:color="B2A1C6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B2A1C6" w:themeColor="accent4" w:sz="4" w:space="0"/>
          <w:bottom w:val="single" w:color="B2A1C6" w:themeColor="accent4" w:sz="4" w:space="0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2CCDC" w:fill="92CCDC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92CCDC" w:themeColor="accent5" w:sz="4" w:space="0"/>
          <w:right w:val="single" w:color="92CCDC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92CCDC" w:themeColor="accent5" w:sz="4" w:space="0"/>
          <w:bottom w:val="single" w:color="92CCDC" w:themeColor="accent5" w:sz="4" w:space="0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AC090" w:fill="FAC090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AC090" w:themeColor="accent6" w:sz="4" w:space="0"/>
          <w:right w:val="single" w:color="FAC090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FAC090" w:themeColor="accent6" w:sz="4" w:space="0"/>
          <w:bottom w:val="single" w:color="FAC090" w:themeColor="accent6" w:sz="4" w:space="0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F81BD" w:fill="4F81BD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2DFEE" w:fill="D2DFEE" w:themeFill="accent1" w:themeFillTint="40"/>
      </w:tcPr>
    </w:tblStylePr>
    <w:tblStylePr w:type="band1Horz">
      <w:rPr>
        <w:sz w:val="22"/>
      </w:rPr>
      <w:tblPr/>
      <w:tcPr>
        <w:shd w:val="clear" w:color="D2DFEE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C0504D" w:fill="C0504D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FD2D2" w:fill="EFD2D2" w:themeFill="accent2" w:themeFillTint="40"/>
      </w:tcPr>
    </w:tblStylePr>
    <w:tblStylePr w:type="band1Horz">
      <w:rPr>
        <w:sz w:val="22"/>
      </w:rPr>
      <w:tblPr/>
      <w:tcPr>
        <w:shd w:val="clear" w:color="EFD2D2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9BBB59" w:fill="9BBB59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5EED5" w:fill="E5EED5" w:themeFill="accent3" w:themeFillTint="40"/>
      </w:tcPr>
    </w:tblStylePr>
    <w:tblStylePr w:type="band1Horz">
      <w:rPr>
        <w:sz w:val="22"/>
      </w:rPr>
      <w:tblPr/>
      <w:tcPr>
        <w:shd w:val="clear" w:color="E5EED5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8064A2" w:fill="8064A2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FD8E7" w:fill="DFD8E7" w:themeFill="accent4" w:themeFillTint="40"/>
      </w:tcPr>
    </w:tblStylePr>
    <w:tblStylePr w:type="band1Horz">
      <w:rPr>
        <w:sz w:val="22"/>
      </w:rPr>
      <w:tblPr/>
      <w:tcPr>
        <w:shd w:val="clear" w:color="DFD8E7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4BACC6" w:fill="4BACC6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1EAF0" w:fill="D1EAF0" w:themeFill="accent5" w:themeFillTint="40"/>
      </w:tcPr>
    </w:tblStylePr>
    <w:tblStylePr w:type="band1Horz">
      <w:rPr>
        <w:sz w:val="22"/>
      </w:rPr>
      <w:tblPr/>
      <w:tcPr>
        <w:shd w:val="clear" w:color="D1EAF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sz w:val="22"/>
      </w:rPr>
      <w:tblPr/>
      <w:tcPr>
        <w:shd w:val="clear" w:color="F79646" w:fill="F79646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DE4D0" w:fill="FDE4D0" w:themeFill="accent6" w:themeFillTint="40"/>
      </w:tcPr>
    </w:tblStylePr>
    <w:tblStylePr w:type="band1Horz">
      <w:rPr>
        <w:sz w:val="22"/>
      </w:rPr>
      <w:tblPr/>
      <w:tcPr>
        <w:shd w:val="clear" w:color="FDE4D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4F81BD" w:themeColor="accent1" w:sz="32" w:space="0"/>
          <w:bottom w:val="single" w:color="FFFFFF" w:themeColor="light1" w:sz="12" w:space="0"/>
        </w:tcBorders>
        <w:shd w:val="clear" w:color="4F81BD" w:fill="4F81BD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4F81BD" w:fill="4F81BD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4F81BD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D99695" w:themeColor="accent2" w:sz="32" w:space="0"/>
          <w:bottom w:val="single" w:color="FFFFFF" w:themeColor="light1" w:sz="12" w:space="0"/>
        </w:tcBorders>
        <w:shd w:val="clear" w:color="D99695" w:fill="D99695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D99695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D99695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D99695" w:fill="D99695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D99695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C3D69B" w:themeColor="accent3" w:sz="32" w:space="0"/>
          <w:bottom w:val="single" w:color="FFFFFF" w:themeColor="light1" w:sz="12" w:space="0"/>
        </w:tcBorders>
        <w:shd w:val="clear" w:color="C3D69B" w:fill="C3D69B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3D69B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3D69B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3D69B" w:fill="C3D69B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3D69B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B2A1C6" w:themeColor="accent4" w:sz="32" w:space="0"/>
          <w:bottom w:val="single" w:color="FFFFFF" w:themeColor="light1" w:sz="12" w:space="0"/>
        </w:tcBorders>
        <w:shd w:val="clear" w:color="B2A1C6" w:fill="B2A1C6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B2A1C6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B2A1C6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B2A1C6" w:fill="B2A1C6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B2A1C6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92CCDC" w:themeColor="accent5" w:sz="32" w:space="0"/>
          <w:bottom w:val="single" w:color="FFFFFF" w:themeColor="light1" w:sz="12" w:space="0"/>
        </w:tcBorders>
        <w:shd w:val="clear" w:color="92CCDC" w:fill="92CCDC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92CCDC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92CCDC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92CCDC" w:fill="92CCDC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92CCDC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light1"/>
        <w:sz w:val="22"/>
      </w:rPr>
      <w:tblPr/>
      <w:tcPr>
        <w:tcBorders>
          <w:top w:val="single" w:color="FAC090" w:themeColor="accent6" w:sz="32" w:space="0"/>
          <w:bottom w:val="single" w:color="FFFFFF" w:themeColor="light1" w:sz="12" w:space="0"/>
        </w:tcBorders>
        <w:shd w:val="clear" w:color="FAC090" w:fill="FAC090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AC090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AC090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AC090" w:fill="FAC090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AC090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1" w:themeShade="95"/>
      </w:rPr>
      <w:tblPr/>
      <w:tcPr>
        <w:tcBorders>
          <w:bottom w:val="single" w:color="4F81BD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4F81BD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2" w:themeTint="97" w:themeShade="95"/>
      </w:rPr>
      <w:tblPr/>
      <w:tcPr>
        <w:tcBorders>
          <w:bottom w:val="single" w:color="D99695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D99695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3" w:themeTint="98" w:themeShade="95"/>
      </w:rPr>
      <w:tblPr/>
      <w:tcPr>
        <w:tcBorders>
          <w:bottom w:val="single" w:color="C3D69B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3D69B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4" w:themeTint="9a" w:themeShade="95"/>
      </w:rPr>
      <w:tblPr/>
      <w:tcPr>
        <w:tcBorders>
          <w:bottom w:val="single" w:color="B2A1C6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B2A1C6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5" w:themeTint="9a" w:themeShade="95"/>
      </w:rPr>
      <w:tblPr/>
      <w:tcPr>
        <w:tcBorders>
          <w:bottom w:val="single" w:color="92CCDC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92CCDC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themeColor="accent6" w:themeTint="98" w:themeShade="95"/>
      </w:rPr>
      <w:tblPr/>
      <w:tcPr>
        <w:tcBorders>
          <w:bottom w:val="single" w:color="FAC090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FAC090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Borders>
        <w:right w:val="single" w:color="4F81BD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2DFEE" w:fill="D2DFEE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2DFEE" w:fill="D2DFEE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Borders>
        <w:right w:val="single" w:color="D99695" w:themeColor="accent2" w:themeTint="9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D99695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D99695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D99695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FD2D2" w:fill="EFD2D2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EFD2D2" w:fill="EFD2D2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Borders>
        <w:right w:val="single" w:color="C3D69B" w:themeColor="accent3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3D69B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3D69B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C3D69B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5EED5" w:fill="E5EED5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5EED5" w:fill="E5EED5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Borders>
        <w:right w:val="single" w:color="B2A1C6" w:themeColor="accent4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B2A1C6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B2A1C6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B2A1C6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FD8E7" w:fill="DFD8E7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DFD8E7" w:fill="DFD8E7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Borders>
        <w:right w:val="single" w:color="92CCDC" w:themeColor="accent5" w:themeTint="9a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2CCDC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92CCDC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92CCDC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1EAF0" w:fill="D1EA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D1EAF0" w:fill="D1EA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Borders>
        <w:right w:val="single" w:color="FAC090" w:themeColor="accent6" w:themeTint="98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AC090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FAC09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FAC090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DE4D0" w:fill="FDE4D0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DE4D0" w:fill="FDE4D0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Lined-Accent2">
    <w:name w:val="Lined - Accent 2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Lined-Accent3">
    <w:name w:val="Lined - Accent 3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Lined-Accent4">
    <w:name w:val="Lined - Accent 4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Lined-Accent5">
    <w:name w:val="Lined - Accent 5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Lined-Accent6">
    <w:name w:val="Lined - Accent 6"/>
    <w:uiPriority w:val="99"/>
    <w:rPr>
      <w:lang w:eastAsia="ru-RU"/>
    </w:rPr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uiPriority w:val="99"/>
    <w:rPr>
      <w:lang w:eastAsia="ru-RU"/>
    </w:rPr>
    <w:tblPr>
      <w:tblStyleRowBandSize w:val="1"/>
      <w:tblStyleColBandSize w:val="1"/>
      <w:tblBorders>
        <w:top w:val="single" w:color="2A4A71" w:themeColor="accent1" w:sz="4" w:space="0"/>
        <w:left w:val="single" w:color="2A4A71" w:themeColor="accent1" w:sz="4" w:space="0"/>
        <w:bottom w:val="single" w:color="2A4A71" w:themeColor="accent1" w:sz="4" w:space="0"/>
        <w:right w:val="single" w:color="2A4A71" w:themeColor="accent1" w:sz="4" w:space="0"/>
        <w:insideH w:val="single" w:color="2A4A71" w:themeColor="accent1" w:sz="4" w:space="0"/>
        <w:insideV w:val="single" w:color="2A4A71" w:themeColor="accent1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5D8AC2" w:fill="5D8AC2" w:themeFill="accent1" w:themeFillTint="ea"/>
      </w:tcPr>
    </w:tblStylePr>
    <w:tblStylePr w:type="lastRow">
      <w:rPr>
        <w:sz w:val="22"/>
      </w:rPr>
      <w:tblPr/>
      <w:tcPr>
        <w:shd w:val="clear" w:color="5D8AC2" w:fill="5D8AC2" w:themeFill="accent1" w:themeFillTint="ea"/>
      </w:tcPr>
    </w:tblStylePr>
    <w:tblStylePr w:type="firstCol">
      <w:rPr>
        <w:sz w:val="22"/>
      </w:rPr>
      <w:tblPr/>
      <w:tcPr>
        <w:shd w:val="clear" w:color="5D8AC2" w:fill="5D8AC2" w:themeFill="accent1" w:themeFillTint="ea"/>
      </w:tcPr>
    </w:tblStylePr>
    <w:tblStylePr w:type="lastCol">
      <w:rPr>
        <w:sz w:val="22"/>
      </w:rPr>
      <w:tblPr/>
      <w:tcPr>
        <w:shd w:val="clear" w:color="5D8AC2" w:fill="5D8AC2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7D7EA" w:fill="C7D7EA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7D7EA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lang w:eastAsia="ru-RU"/>
    </w:rPr>
    <w:tblPr>
      <w:tblStyleRowBandSize w:val="1"/>
      <w:tblStyleColBandSize w:val="1"/>
      <w:tblBorders>
        <w:top w:val="single" w:color="732A29" w:themeColor="accent2" w:sz="4" w:space="0"/>
        <w:left w:val="single" w:color="732A29" w:themeColor="accent2" w:sz="4" w:space="0"/>
        <w:bottom w:val="single" w:color="732A29" w:themeColor="accent2" w:sz="4" w:space="0"/>
        <w:right w:val="single" w:color="732A29" w:themeColor="accent2" w:sz="4" w:space="0"/>
        <w:insideH w:val="single" w:color="732A29" w:themeColor="accent2" w:sz="4" w:space="0"/>
        <w:insideV w:val="single" w:color="732A29" w:themeColor="accent2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D99695" w:fill="D99695" w:themeFill="accent2" w:themeFillTint="97"/>
      </w:tcPr>
    </w:tblStylePr>
    <w:tblStylePr w:type="lastRow">
      <w:rPr>
        <w:sz w:val="22"/>
      </w:rPr>
      <w:tblPr/>
      <w:tcPr>
        <w:shd w:val="clear" w:color="D99695" w:fill="D99695" w:themeFill="accent2" w:themeFillTint="97"/>
      </w:tcPr>
    </w:tblStylePr>
    <w:tblStylePr w:type="firstCol">
      <w:rPr>
        <w:sz w:val="22"/>
      </w:rPr>
      <w:tblPr/>
      <w:tcPr>
        <w:shd w:val="clear" w:color="D99695" w:fill="D99695" w:themeFill="accent2" w:themeFillTint="97"/>
      </w:tcPr>
    </w:tblStylePr>
    <w:tblStylePr w:type="lastCol">
      <w:rPr>
        <w:sz w:val="22"/>
      </w:rPr>
      <w:tblPr/>
      <w:tcPr>
        <w:shd w:val="clear" w:color="D99695" w:fill="D99695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DCDC" w:fill="F2DCDC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DCDC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lang w:eastAsia="ru-RU"/>
    </w:rPr>
    <w:tblPr>
      <w:tblStyleRowBandSize w:val="1"/>
      <w:tblStyleColBandSize w:val="1"/>
      <w:tblBorders>
        <w:top w:val="single" w:color="5B722E" w:themeColor="accent3" w:sz="4" w:space="0"/>
        <w:left w:val="single" w:color="5B722E" w:themeColor="accent3" w:sz="4" w:space="0"/>
        <w:bottom w:val="single" w:color="5B722E" w:themeColor="accent3" w:sz="4" w:space="0"/>
        <w:right w:val="single" w:color="5B722E" w:themeColor="accent3" w:sz="4" w:space="0"/>
        <w:insideH w:val="single" w:color="5B722E" w:themeColor="accent3" w:sz="4" w:space="0"/>
        <w:insideV w:val="single" w:color="5B722E" w:themeColor="accent3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9ABB59" w:fill="9ABB59" w:themeFill="accent3" w:themeFillTint="fe"/>
      </w:tcPr>
    </w:tblStylePr>
    <w:tblStylePr w:type="lastRow">
      <w:rPr>
        <w:sz w:val="22"/>
      </w:rPr>
      <w:tblPr/>
      <w:tcPr>
        <w:shd w:val="clear" w:color="9ABB59" w:fill="9ABB59" w:themeFill="accent3" w:themeFillTint="fe"/>
      </w:tcPr>
    </w:tblStylePr>
    <w:tblStylePr w:type="firstCol">
      <w:rPr>
        <w:sz w:val="22"/>
      </w:rPr>
      <w:tblPr/>
      <w:tcPr>
        <w:shd w:val="clear" w:color="9ABB59" w:fill="9ABB59" w:themeFill="accent3" w:themeFillTint="fe"/>
      </w:tcPr>
    </w:tblStylePr>
    <w:tblStylePr w:type="lastCol">
      <w:rPr>
        <w:sz w:val="22"/>
      </w:rPr>
      <w:tblPr/>
      <w:tcPr>
        <w:shd w:val="clear" w:color="9ABB59" w:fill="9ABB59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AF1DC" w:fill="EAF1D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AF1DC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lang w:eastAsia="ru-RU"/>
    </w:rPr>
    <w:tblPr>
      <w:tblStyleRowBandSize w:val="1"/>
      <w:tblStyleColBandSize w:val="1"/>
      <w:tblBorders>
        <w:top w:val="single" w:color="4A395F" w:themeColor="accent4" w:sz="4" w:space="0"/>
        <w:left w:val="single" w:color="4A395F" w:themeColor="accent4" w:sz="4" w:space="0"/>
        <w:bottom w:val="single" w:color="4A395F" w:themeColor="accent4" w:sz="4" w:space="0"/>
        <w:right w:val="single" w:color="4A395F" w:themeColor="accent4" w:sz="4" w:space="0"/>
        <w:insideH w:val="single" w:color="4A395F" w:themeColor="accent4" w:sz="4" w:space="0"/>
        <w:insideV w:val="single" w:color="4A395F" w:themeColor="accent4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B2A1C6" w:fill="B2A1C6" w:themeFill="accent4" w:themeFillTint="9a"/>
      </w:tcPr>
    </w:tblStylePr>
    <w:tblStylePr w:type="lastRow">
      <w:rPr>
        <w:sz w:val="22"/>
      </w:rPr>
      <w:tblPr/>
      <w:tcPr>
        <w:shd w:val="clear" w:color="B2A1C6" w:fill="B2A1C6" w:themeFill="accent4" w:themeFillTint="9a"/>
      </w:tcPr>
    </w:tblStylePr>
    <w:tblStylePr w:type="firstCol">
      <w:rPr>
        <w:sz w:val="22"/>
      </w:rPr>
      <w:tblPr/>
      <w:tcPr>
        <w:shd w:val="clear" w:color="B2A1C6" w:fill="B2A1C6" w:themeFill="accent4" w:themeFillTint="9a"/>
      </w:tcPr>
    </w:tblStylePr>
    <w:tblStylePr w:type="lastCol">
      <w:rPr>
        <w:sz w:val="22"/>
      </w:rPr>
      <w:tblPr/>
      <w:tcPr>
        <w:shd w:val="clear" w:color="B2A1C6" w:fill="B2A1C6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5DFEC" w:fill="E5DFEC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5DFEC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lang w:eastAsia="ru-RU"/>
    </w:rPr>
    <w:tblPr>
      <w:tblStyleRowBandSize w:val="1"/>
      <w:tblStyleColBandSize w:val="1"/>
      <w:tblBorders>
        <w:top w:val="single" w:color="266779" w:themeColor="accent5" w:sz="4" w:space="0"/>
        <w:left w:val="single" w:color="266779" w:themeColor="accent5" w:sz="4" w:space="0"/>
        <w:bottom w:val="single" w:color="266779" w:themeColor="accent5" w:sz="4" w:space="0"/>
        <w:right w:val="single" w:color="266779" w:themeColor="accent5" w:sz="4" w:space="0"/>
        <w:insideH w:val="single" w:color="266779" w:themeColor="accent5" w:sz="4" w:space="0"/>
        <w:insideV w:val="single" w:color="266779" w:themeColor="accent5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4BACC6" w:fill="4BACC6" w:themeFill="accent5"/>
      </w:tcPr>
    </w:tblStylePr>
    <w:tblStylePr w:type="lastRow">
      <w:rPr>
        <w:sz w:val="22"/>
      </w:rPr>
      <w:tblPr/>
      <w:tcPr>
        <w:shd w:val="clear" w:color="4BACC6" w:fill="4BACC6" w:themeFill="accent5"/>
      </w:tcPr>
    </w:tblStylePr>
    <w:tblStylePr w:type="firstCol">
      <w:rPr>
        <w:sz w:val="22"/>
      </w:rPr>
      <w:tblPr/>
      <w:tcPr>
        <w:shd w:val="clear" w:color="4BACC6" w:fill="4BACC6" w:themeFill="accent5"/>
      </w:tcPr>
    </w:tblStylePr>
    <w:tblStylePr w:type="lastCol">
      <w:rPr>
        <w:sz w:val="22"/>
      </w:rPr>
      <w:tblPr/>
      <w:tcPr>
        <w:shd w:val="clear" w:color="4BACC6" w:fill="4BACC6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AEEF3" w:fill="DAEE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AEEF3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lang w:eastAsia="ru-RU"/>
    </w:rPr>
    <w:tblPr>
      <w:tblStyleRowBandSize w:val="1"/>
      <w:tblStyleColBandSize w:val="1"/>
      <w:tblBorders>
        <w:top w:val="single" w:color="B15407" w:themeColor="accent6" w:sz="4" w:space="0"/>
        <w:left w:val="single" w:color="B15407" w:themeColor="accent6" w:sz="4" w:space="0"/>
        <w:bottom w:val="single" w:color="B15407" w:themeColor="accent6" w:sz="4" w:space="0"/>
        <w:right w:val="single" w:color="B15407" w:themeColor="accent6" w:sz="4" w:space="0"/>
        <w:insideH w:val="single" w:color="B15407" w:themeColor="accent6" w:sz="4" w:space="0"/>
        <w:insideV w:val="single" w:color="B15407" w:themeColor="accent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shd w:val="clear" w:color="F79646" w:fill="F79646" w:themeFill="accent6"/>
      </w:tcPr>
    </w:tblStylePr>
    <w:tblStylePr w:type="lastRow">
      <w:rPr>
        <w:sz w:val="22"/>
      </w:rPr>
      <w:tblPr/>
      <w:tcPr>
        <w:shd w:val="clear" w:color="F79646" w:fill="F79646" w:themeFill="accent6"/>
      </w:tcPr>
    </w:tblStylePr>
    <w:tblStylePr w:type="firstCol">
      <w:rPr>
        <w:sz w:val="22"/>
      </w:rPr>
      <w:tblPr/>
      <w:tcPr>
        <w:shd w:val="clear" w:color="F79646" w:fill="F79646" w:themeFill="accent6"/>
      </w:tcPr>
    </w:tblStylePr>
    <w:tblStylePr w:type="lastCol">
      <w:rPr>
        <w:sz w:val="22"/>
      </w:rPr>
      <w:tblPr/>
      <w:tcPr>
        <w:shd w:val="clear" w:color="F79646" w:fill="F79646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DE9D8" w:fill="FDE9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DE9D8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4F81BD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4F81BD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F81BD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7CBE4" w:themeColor="accent1" w:sz="4" w:space="0"/>
          <w:left w:val="single" w:color="B7CBE4" w:themeColor="accent1" w:sz="4" w:space="0"/>
          <w:bottom w:val="single" w:color="B7CBE4" w:themeColor="accent1" w:sz="4" w:space="0"/>
          <w:right w:val="single" w:color="B7CBE4" w:themeColor="accent1" w:sz="4" w:space="0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D99695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D99695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D99695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5B7B6" w:themeColor="accent2" w:sz="4" w:space="0"/>
          <w:left w:val="single" w:color="E5B7B6" w:themeColor="accent2" w:sz="4" w:space="0"/>
          <w:bottom w:val="single" w:color="E5B7B6" w:themeColor="accent2" w:sz="4" w:space="0"/>
          <w:right w:val="single" w:color="E5B7B6" w:themeColor="accent2" w:sz="4" w:space="0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C3D69B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3D69B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3D69B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6E3BB" w:themeColor="accent3" w:sz="4" w:space="0"/>
          <w:left w:val="single" w:color="D6E3BB" w:themeColor="accent3" w:sz="4" w:space="0"/>
          <w:bottom w:val="single" w:color="D6E3BB" w:themeColor="accent3" w:sz="4" w:space="0"/>
          <w:right w:val="single" w:color="D6E3BB" w:themeColor="accent3" w:sz="4" w:space="0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B2A1C6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B2A1C6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B2A1C6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CBC0D9" w:themeColor="accent4" w:sz="4" w:space="0"/>
          <w:left w:val="single" w:color="CBC0D9" w:themeColor="accent4" w:sz="4" w:space="0"/>
          <w:bottom w:val="single" w:color="CBC0D9" w:themeColor="accent4" w:sz="4" w:space="0"/>
          <w:right w:val="single" w:color="CBC0D9" w:themeColor="accent4" w:sz="4" w:space="0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92CCDC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92CCDC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92CCDC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6DDE8" w:themeColor="accent5" w:sz="4" w:space="0"/>
          <w:left w:val="single" w:color="B6DDE8" w:themeColor="accent5" w:sz="4" w:space="0"/>
          <w:bottom w:val="single" w:color="B6DDE8" w:themeColor="accent5" w:sz="4" w:space="0"/>
          <w:right w:val="single" w:color="B6DDE8" w:themeColor="accent5" w:sz="4" w:space="0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sz w:val="22"/>
      </w:rPr>
      <w:tblPr/>
      <w:tcPr>
        <w:tcBorders>
          <w:bottom w:val="single" w:color="FAC090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FAC090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AC090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FBD4B4" w:themeColor="accent6" w:sz="4" w:space="0"/>
          <w:left w:val="single" w:color="FBD4B4" w:themeColor="accent6" w:sz="4" w:space="0"/>
          <w:bottom w:val="single" w:color="FBD4B4" w:themeColor="accent6" w:sz="4" w:space="0"/>
          <w:right w:val="single" w:color="FBD4B4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 pitchFamily="0" charset="1"/>
        <a:ea typeface="Arial" pitchFamily="0" charset="1"/>
        <a:cs typeface="Arial" pitchFamily="0" charset="1"/>
      </a:majorFont>
      <a:minorFont>
        <a:latin typeface="Arial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/>
        <a:ln w="25400"/>
        <a:ln w="38100"/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LibreOffice/24.8.4.2$Linux_X86_64 LibreOffice_project/480$Build-2</Application>
  <AppVersion>15.0000</AppVersion>
  <DocSecurity>4</DocSecurity>
  <Pages>2</Pages>
  <Words>375</Words>
  <Characters>2587</Characters>
  <CharactersWithSpaces>3256</CharactersWithSpaces>
  <Paragraphs>21</Paragraphs>
  <Company>Romeo1994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2026-08-20T06:38:00Z</dcterms:created>
  <dc:creator>Банников</dc:creator>
  <dc:description/>
  <dc:language>ru-RU</dc:language>
  <cp:lastModifiedBy/>
  <dcterms:modified xsi:type="dcterms:W3CDTF">2026-08-20T11:41:57Z</dcterms:modified>
  <cp:revision>3</cp:revision>
  <dc:subject/>
  <dc:title>О разработке муниципальной целевой программы по развитию инфраструктуры ЕДДС Копейского городского округа для обеспечения работы единого номера вызова «112»</dc:title>
  <cp:version>917504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