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sz w:val="22"/>
          <w:szCs w:val="22"/>
        </w:rPr>
      </w:pPr>
      <w:r>
        <w:rPr>
          <w:rFonts w:cs="Times New Roman" w:ascii="Times New Roman" w:hAnsi="Times New Roman"/>
          <w:sz w:val="22"/>
          <w:szCs w:val="22"/>
        </w:rPr>
        <w:t xml:space="preserve">Извещение о проведение аукциона </w:t>
      </w:r>
    </w:p>
    <w:p>
      <w:pPr>
        <w:pStyle w:val="Normal"/>
        <w:spacing w:lineRule="auto" w:line="240" w:before="0" w:after="0"/>
        <w:jc w:val="center"/>
        <w:rPr>
          <w:sz w:val="22"/>
          <w:szCs w:val="22"/>
        </w:rPr>
      </w:pPr>
      <w:r>
        <w:rPr>
          <w:rFonts w:cs="Times New Roman" w:ascii="Times New Roman" w:hAnsi="Times New Roman"/>
          <w:sz w:val="22"/>
          <w:szCs w:val="22"/>
        </w:rPr>
        <w:t xml:space="preserve">на предоставление права использования торгового места для размещения нестационарных объектов сезонной торговли для реализации сырого молока и молочных продуктов на период с 01.05.2026 по 31.10.2026 на территории Копейского городского округа </w:t>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ind w:firstLine="709"/>
        <w:jc w:val="both"/>
        <w:rPr>
          <w:sz w:val="22"/>
          <w:szCs w:val="22"/>
        </w:rPr>
      </w:pPr>
      <w:r>
        <w:rPr>
          <w:rFonts w:cs="Times New Roman" w:ascii="Times New Roman" w:hAnsi="Times New Roman"/>
          <w:sz w:val="22"/>
          <w:szCs w:val="22"/>
        </w:rPr>
        <w:t xml:space="preserve">Администрация Копейского городского округа в лице управления экономического развития администрации Копейского городского округа (далее – Организатор) извещает о проведение аукциона </w:t>
      </w:r>
      <w:r>
        <w:rPr>
          <w:rFonts w:cs="Times New Roman" w:ascii="Times New Roman" w:hAnsi="Times New Roman"/>
          <w:b/>
          <w:sz w:val="22"/>
          <w:szCs w:val="22"/>
        </w:rPr>
        <w:t>на предоставление права использования торгового места для размещения нестационарных объектов сезонной торговли для реализации сырого молока и молочных продуктов на период с 01.05.2026 по 31.10.2026 на территории Копейского городского округа</w:t>
      </w:r>
      <w:r>
        <w:rPr>
          <w:rFonts w:cs="Times New Roman" w:ascii="Times New Roman" w:hAnsi="Times New Roman"/>
          <w:sz w:val="22"/>
          <w:szCs w:val="22"/>
        </w:rPr>
        <w:t xml:space="preserve"> (далее – </w:t>
      </w:r>
      <w:r>
        <w:rPr>
          <w:rFonts w:cs="Times New Roman" w:ascii="Times New Roman" w:hAnsi="Times New Roman"/>
          <w:sz w:val="22"/>
          <w:szCs w:val="22"/>
        </w:rPr>
        <w:t>а</w:t>
      </w:r>
      <w:r>
        <w:rPr>
          <w:rFonts w:cs="Times New Roman" w:ascii="Times New Roman" w:hAnsi="Times New Roman"/>
          <w:sz w:val="22"/>
          <w:szCs w:val="22"/>
        </w:rPr>
        <w:t xml:space="preserve">укцион). </w:t>
      </w:r>
    </w:p>
    <w:p>
      <w:pPr>
        <w:pStyle w:val="Normal"/>
        <w:spacing w:lineRule="auto" w:line="240" w:before="0" w:after="0"/>
        <w:ind w:firstLine="709"/>
        <w:jc w:val="both"/>
        <w:rPr>
          <w:sz w:val="22"/>
          <w:szCs w:val="22"/>
        </w:rPr>
      </w:pPr>
      <w:r>
        <w:rPr>
          <w:rFonts w:cs="Times New Roman" w:ascii="Times New Roman" w:hAnsi="Times New Roman"/>
          <w:sz w:val="22"/>
          <w:szCs w:val="22"/>
        </w:rPr>
        <w:t xml:space="preserve">1. Местонахождение (адрес Организатора): 456618, Челябинская область, г. Копейск, ул. Ленина, дом 52; каб. 106, 114, контактные телефоны: 8(35139) 40-136, 8(35139) 40-150, e-mail: </w:t>
      </w:r>
      <w:r>
        <w:rPr>
          <w:rFonts w:cs="Times New Roman" w:ascii="Times New Roman" w:hAnsi="Times New Roman"/>
          <w:sz w:val="22"/>
          <w:szCs w:val="22"/>
          <w:lang w:val="en-US"/>
        </w:rPr>
        <w:t>torg</w:t>
      </w:r>
      <w:r>
        <w:rPr>
          <w:rFonts w:cs="Times New Roman" w:ascii="Times New Roman" w:hAnsi="Times New Roman"/>
          <w:sz w:val="22"/>
          <w:szCs w:val="22"/>
        </w:rPr>
        <w:t>@</w:t>
      </w:r>
      <w:r>
        <w:rPr>
          <w:rFonts w:cs="Times New Roman" w:ascii="Times New Roman" w:hAnsi="Times New Roman"/>
          <w:sz w:val="22"/>
          <w:szCs w:val="22"/>
          <w:lang w:val="en-US"/>
        </w:rPr>
        <w:t>akgo</w:t>
      </w:r>
      <w:r>
        <w:rPr>
          <w:rFonts w:cs="Times New Roman" w:ascii="Times New Roman" w:hAnsi="Times New Roman"/>
          <w:sz w:val="22"/>
          <w:szCs w:val="22"/>
        </w:rPr>
        <w:t>74.</w:t>
      </w:r>
      <w:r>
        <w:rPr>
          <w:rFonts w:cs="Times New Roman" w:ascii="Times New Roman" w:hAnsi="Times New Roman"/>
          <w:sz w:val="22"/>
          <w:szCs w:val="22"/>
          <w:lang w:val="en-US"/>
        </w:rPr>
        <w:t>ru</w:t>
      </w:r>
    </w:p>
    <w:p>
      <w:pPr>
        <w:pStyle w:val="Normal"/>
        <w:spacing w:lineRule="auto" w:line="240" w:before="0" w:after="0"/>
        <w:ind w:firstLine="709"/>
        <w:jc w:val="both"/>
        <w:rPr>
          <w:sz w:val="22"/>
          <w:szCs w:val="22"/>
        </w:rPr>
      </w:pPr>
      <w:r>
        <w:rPr>
          <w:rFonts w:cs="Times New Roman" w:ascii="Times New Roman" w:hAnsi="Times New Roman"/>
          <w:sz w:val="22"/>
          <w:szCs w:val="22"/>
        </w:rPr>
        <w:t>2. Субъекты торговли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pPr>
        <w:pStyle w:val="Normal"/>
        <w:spacing w:lineRule="auto" w:line="240" w:before="0" w:after="0"/>
        <w:ind w:firstLine="709"/>
        <w:jc w:val="both"/>
        <w:rPr>
          <w:sz w:val="22"/>
          <w:szCs w:val="22"/>
        </w:rPr>
      </w:pPr>
      <w:r>
        <w:rPr>
          <w:rFonts w:cs="Times New Roman" w:ascii="Times New Roman" w:hAnsi="Times New Roman"/>
          <w:sz w:val="22"/>
          <w:szCs w:val="22"/>
        </w:rPr>
        <w:t>3. Предмет аукциона: предоставление права использования торгового места для размещения нестационарных объектов сезонной торговли на период с 01.05.2026 по 31.10.2026.</w:t>
      </w:r>
    </w:p>
    <w:p>
      <w:pPr>
        <w:pStyle w:val="Normal"/>
        <w:spacing w:lineRule="auto" w:line="240" w:before="0" w:after="0"/>
        <w:jc w:val="center"/>
        <w:rPr>
          <w:sz w:val="22"/>
          <w:szCs w:val="22"/>
        </w:rPr>
      </w:pPr>
      <w:r>
        <w:rPr>
          <w:rFonts w:cs="Times New Roman" w:ascii="Times New Roman" w:hAnsi="Times New Roman"/>
          <w:sz w:val="22"/>
          <w:szCs w:val="22"/>
        </w:rPr>
        <w:t>Перечень торговых мест для размещения нестационарных объектов сезонной торговли.</w:t>
      </w:r>
    </w:p>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tbl>
      <w:tblPr>
        <w:tblW w:w="9645" w:type="dxa"/>
        <w:jc w:val="left"/>
        <w:tblInd w:w="109" w:type="dxa"/>
        <w:tblLayout w:type="fixed"/>
        <w:tblCellMar>
          <w:top w:w="0" w:type="dxa"/>
          <w:left w:w="108" w:type="dxa"/>
          <w:bottom w:w="0" w:type="dxa"/>
          <w:right w:w="108" w:type="dxa"/>
        </w:tblCellMar>
        <w:tblLook w:noVBand="1" w:val="04a0" w:noHBand="0" w:lastColumn="0" w:firstColumn="1" w:lastRow="0" w:firstRow="1"/>
      </w:tblPr>
      <w:tblGrid>
        <w:gridCol w:w="1022"/>
        <w:gridCol w:w="4932"/>
        <w:gridCol w:w="1844"/>
        <w:gridCol w:w="1846"/>
      </w:tblGrid>
      <w:tr>
        <w:trPr>
          <w:trHeight w:val="44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w:t>
            </w:r>
          </w:p>
          <w:p>
            <w:pPr>
              <w:pStyle w:val="Normal"/>
              <w:spacing w:lineRule="auto" w:line="240" w:before="0" w:after="0"/>
              <w:jc w:val="center"/>
              <w:rPr>
                <w:sz w:val="22"/>
                <w:szCs w:val="22"/>
              </w:rPr>
            </w:pPr>
            <w:r>
              <w:rPr>
                <w:rFonts w:eastAsia="Times New Roman" w:cs="Times New Roman" w:ascii="Times New Roman" w:hAnsi="Times New Roman"/>
                <w:sz w:val="22"/>
                <w:szCs w:val="22"/>
              </w:rPr>
              <w:t>п/п (лот)</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Адресный ориентир торгового места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Предельная площадь торгового места, м2</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Количество торговых мест</w:t>
            </w:r>
          </w:p>
        </w:tc>
      </w:tr>
      <w:tr>
        <w:trPr>
          <w:trHeight w:val="443" w:hRule="atLeast"/>
        </w:trPr>
        <w:tc>
          <w:tcPr>
            <w:tcW w:w="9644"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Раздел 3. Торговые места для размещения нестационарных торговых объектов сезонной торговли для реализации сырого молока</w:t>
            </w:r>
          </w:p>
        </w:tc>
      </w:tr>
      <w:tr>
        <w:trPr>
          <w:trHeight w:val="118"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sz w:val="22"/>
                <w:szCs w:val="22"/>
              </w:rPr>
            </w:pPr>
            <w:r>
              <w:rPr>
                <w:rFonts w:eastAsia="Times New Roman" w:cs="Times New Roman" w:ascii="Times New Roman" w:hAnsi="Times New Roman"/>
                <w:sz w:val="22"/>
                <w:szCs w:val="22"/>
              </w:rPr>
              <w:t>1</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sz w:val="22"/>
                <w:szCs w:val="22"/>
              </w:rPr>
            </w:pPr>
            <w:r>
              <w:rPr>
                <w:rFonts w:eastAsia="Times New Roman" w:cs="Times New Roman" w:ascii="Times New Roman" w:hAnsi="Times New Roman"/>
                <w:sz w:val="22"/>
                <w:szCs w:val="22"/>
              </w:rPr>
              <w:t>2</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sz w:val="22"/>
                <w:szCs w:val="22"/>
              </w:rPr>
            </w:pPr>
            <w:r>
              <w:rPr>
                <w:rFonts w:eastAsia="Times New Roman" w:cs="Times New Roman" w:ascii="Times New Roman" w:hAnsi="Times New Roman"/>
                <w:sz w:val="22"/>
                <w:szCs w:val="22"/>
              </w:rPr>
              <w:t>3</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sz w:val="22"/>
                <w:szCs w:val="22"/>
              </w:rPr>
            </w:pPr>
            <w:r>
              <w:rPr>
                <w:rFonts w:eastAsia="Times New Roman" w:cs="Times New Roman" w:ascii="Times New Roman" w:hAnsi="Times New Roman"/>
                <w:sz w:val="22"/>
                <w:szCs w:val="22"/>
              </w:rPr>
              <w:t>4</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1</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2"/>
                <w:szCs w:val="22"/>
              </w:rPr>
            </w:pPr>
            <w:r>
              <w:rPr>
                <w:rFonts w:eastAsia="Times New Roman" w:cs="Times New Roman" w:ascii="Times New Roman" w:hAnsi="Times New Roman"/>
                <w:sz w:val="22"/>
                <w:szCs w:val="22"/>
              </w:rPr>
              <w:t>ул. Луначарского, 30</w:t>
            </w:r>
          </w:p>
          <w:p>
            <w:pPr>
              <w:pStyle w:val="Normal"/>
              <w:spacing w:lineRule="auto" w:line="240" w:before="0" w:after="0"/>
              <w:rPr>
                <w:sz w:val="22"/>
                <w:szCs w:val="22"/>
              </w:rPr>
            </w:pPr>
            <w:r>
              <w:rPr>
                <w:rFonts w:eastAsia="Times New Roman" w:cs="Times New Roman" w:ascii="Times New Roman" w:hAnsi="Times New Roman"/>
                <w:sz w:val="22"/>
                <w:szCs w:val="22"/>
              </w:rPr>
              <w:t>жилой массив Бажова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5</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2</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2"/>
                <w:szCs w:val="22"/>
              </w:rPr>
            </w:pPr>
            <w:r>
              <w:rPr>
                <w:rFonts w:eastAsia="Times New Roman" w:cs="Times New Roman" w:ascii="Times New Roman" w:hAnsi="Times New Roman"/>
                <w:sz w:val="22"/>
                <w:szCs w:val="22"/>
              </w:rPr>
              <w:t>ул. Электровозная, 13</w:t>
            </w:r>
          </w:p>
          <w:p>
            <w:pPr>
              <w:pStyle w:val="Normal"/>
              <w:spacing w:lineRule="auto" w:line="240" w:before="0" w:after="0"/>
              <w:rPr>
                <w:sz w:val="22"/>
                <w:szCs w:val="22"/>
              </w:rPr>
            </w:pPr>
            <w:r>
              <w:rPr>
                <w:rFonts w:eastAsia="Times New Roman" w:cs="Times New Roman" w:ascii="Times New Roman" w:hAnsi="Times New Roman"/>
                <w:sz w:val="22"/>
                <w:szCs w:val="22"/>
              </w:rPr>
              <w:t>жилой массив Железнодорожный</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5</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3</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2"/>
                <w:szCs w:val="22"/>
              </w:rPr>
            </w:pPr>
            <w:r>
              <w:rPr>
                <w:rFonts w:eastAsia="Times New Roman" w:cs="Times New Roman" w:ascii="Times New Roman" w:hAnsi="Times New Roman"/>
                <w:sz w:val="22"/>
                <w:szCs w:val="22"/>
              </w:rPr>
              <w:t>ул. Ленина, 14</w:t>
            </w:r>
          </w:p>
          <w:p>
            <w:pPr>
              <w:pStyle w:val="Normal"/>
              <w:spacing w:lineRule="auto" w:line="240" w:before="0" w:after="0"/>
              <w:rPr>
                <w:sz w:val="22"/>
                <w:szCs w:val="22"/>
              </w:rPr>
            </w:pPr>
            <w:r>
              <w:rPr>
                <w:rFonts w:eastAsia="Times New Roman" w:cs="Times New Roman" w:ascii="Times New Roman" w:hAnsi="Times New Roman"/>
                <w:sz w:val="22"/>
                <w:szCs w:val="22"/>
              </w:rPr>
              <w:t>жилой массив Октябрьский</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5</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1</w:t>
            </w:r>
          </w:p>
        </w:tc>
      </w:tr>
      <w:tr>
        <w:trPr>
          <w:trHeight w:val="96"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4</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2"/>
                <w:szCs w:val="22"/>
              </w:rPr>
            </w:pPr>
            <w:r>
              <w:rPr>
                <w:rFonts w:eastAsia="Times New Roman" w:cs="Times New Roman" w:ascii="Times New Roman" w:hAnsi="Times New Roman"/>
                <w:sz w:val="22"/>
                <w:szCs w:val="22"/>
              </w:rPr>
              <w:t>ул. Коммунистическая, 28</w:t>
            </w:r>
          </w:p>
          <w:p>
            <w:pPr>
              <w:pStyle w:val="Normal"/>
              <w:spacing w:lineRule="auto" w:line="240" w:before="0" w:after="0"/>
              <w:rPr>
                <w:sz w:val="22"/>
                <w:szCs w:val="22"/>
              </w:rPr>
            </w:pPr>
            <w:r>
              <w:rPr>
                <w:rFonts w:eastAsia="Times New Roman" w:cs="Times New Roman" w:ascii="Times New Roman" w:hAnsi="Times New Roman"/>
                <w:sz w:val="22"/>
                <w:szCs w:val="22"/>
              </w:rPr>
              <w:t>жилой массив Старокамышинск</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5</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1</w:t>
            </w:r>
          </w:p>
        </w:tc>
      </w:tr>
      <w:tr>
        <w:trPr>
          <w:trHeight w:val="96"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5</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2"/>
                <w:szCs w:val="22"/>
              </w:rPr>
            </w:pPr>
            <w:r>
              <w:rPr>
                <w:rFonts w:eastAsia="Times New Roman" w:cs="Times New Roman" w:ascii="Times New Roman" w:hAnsi="Times New Roman"/>
                <w:sz w:val="22"/>
                <w:szCs w:val="22"/>
              </w:rPr>
              <w:t>восточнее жилого дома № 35 по пр. Коммунистический</w:t>
            </w:r>
          </w:p>
          <w:p>
            <w:pPr>
              <w:pStyle w:val="Normal"/>
              <w:spacing w:lineRule="auto" w:line="240" w:before="0" w:after="0"/>
              <w:rPr>
                <w:sz w:val="22"/>
                <w:szCs w:val="22"/>
              </w:rPr>
            </w:pPr>
            <w:r>
              <w:rPr>
                <w:rFonts w:eastAsia="Times New Roman" w:cs="Times New Roman" w:ascii="Times New Roman" w:hAnsi="Times New Roman"/>
                <w:sz w:val="22"/>
                <w:szCs w:val="22"/>
              </w:rPr>
              <w:t>центр города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5</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1</w:t>
            </w:r>
          </w:p>
        </w:tc>
      </w:tr>
      <w:tr>
        <w:trPr>
          <w:trHeight w:val="96"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6</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2"/>
                <w:szCs w:val="22"/>
              </w:rPr>
            </w:pPr>
            <w:r>
              <w:rPr>
                <w:rFonts w:eastAsia="Times New Roman" w:cs="Times New Roman" w:ascii="Times New Roman" w:hAnsi="Times New Roman"/>
                <w:sz w:val="22"/>
                <w:szCs w:val="22"/>
              </w:rPr>
              <w:t>ул. 22 Партсъезда, 8</w:t>
            </w:r>
          </w:p>
          <w:p>
            <w:pPr>
              <w:pStyle w:val="Normal"/>
              <w:spacing w:lineRule="auto" w:line="240" w:before="0" w:after="0"/>
              <w:rPr>
                <w:sz w:val="22"/>
                <w:szCs w:val="22"/>
              </w:rPr>
            </w:pPr>
            <w:r>
              <w:rPr>
                <w:rFonts w:eastAsia="Times New Roman" w:cs="Times New Roman" w:ascii="Times New Roman" w:hAnsi="Times New Roman"/>
                <w:sz w:val="22"/>
                <w:szCs w:val="22"/>
              </w:rPr>
              <w:t>жилой массив Вахрушево</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5</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1</w:t>
            </w:r>
          </w:p>
        </w:tc>
      </w:tr>
      <w:tr>
        <w:trPr>
          <w:trHeight w:val="96"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7</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2"/>
                <w:szCs w:val="22"/>
              </w:rPr>
            </w:pPr>
            <w:r>
              <w:rPr>
                <w:rFonts w:eastAsia="Times New Roman" w:cs="Times New Roman" w:ascii="Times New Roman" w:hAnsi="Times New Roman"/>
                <w:sz w:val="22"/>
                <w:szCs w:val="22"/>
              </w:rPr>
              <w:t>пр. Ильича, 12/1</w:t>
            </w:r>
          </w:p>
          <w:p>
            <w:pPr>
              <w:pStyle w:val="Normal"/>
              <w:spacing w:lineRule="auto" w:line="240" w:before="0" w:after="0"/>
              <w:rPr>
                <w:sz w:val="22"/>
                <w:szCs w:val="22"/>
              </w:rPr>
            </w:pPr>
            <w:r>
              <w:rPr>
                <w:rFonts w:eastAsia="Times New Roman" w:cs="Times New Roman" w:ascii="Times New Roman" w:hAnsi="Times New Roman"/>
                <w:sz w:val="22"/>
                <w:szCs w:val="22"/>
              </w:rPr>
              <w:t>центр города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5</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2"/>
                <w:szCs w:val="22"/>
              </w:rPr>
            </w:pPr>
            <w:r>
              <w:rPr>
                <w:rFonts w:eastAsia="Times New Roman" w:cs="Times New Roman" w:ascii="Times New Roman" w:hAnsi="Times New Roman"/>
                <w:sz w:val="22"/>
                <w:szCs w:val="22"/>
              </w:rPr>
              <w:t>1</w:t>
            </w:r>
          </w:p>
        </w:tc>
      </w:tr>
    </w:tbl>
    <w:p>
      <w:pPr>
        <w:pStyle w:val="Normal"/>
        <w:spacing w:lineRule="auto" w:line="240" w:before="0" w:after="0"/>
        <w:ind w:firstLine="709"/>
        <w:jc w:val="both"/>
        <w:rPr>
          <w:sz w:val="22"/>
          <w:szCs w:val="22"/>
        </w:rPr>
      </w:pPr>
      <w:r>
        <w:rPr>
          <w:rFonts w:cs="Times New Roman" w:ascii="Times New Roman" w:hAnsi="Times New Roman"/>
          <w:sz w:val="22"/>
          <w:szCs w:val="22"/>
        </w:rPr>
        <w:t xml:space="preserve">3. Порядок и место подачи заявок на участие в аукционе. </w:t>
      </w:r>
    </w:p>
    <w:p>
      <w:pPr>
        <w:pStyle w:val="Normal"/>
        <w:spacing w:lineRule="auto" w:line="240" w:before="0" w:after="0"/>
        <w:ind w:firstLine="708"/>
        <w:jc w:val="both"/>
        <w:rPr>
          <w:sz w:val="22"/>
          <w:szCs w:val="22"/>
        </w:rPr>
      </w:pPr>
      <w:r>
        <w:rPr>
          <w:rFonts w:cs="Times New Roman" w:ascii="Times New Roman" w:hAnsi="Times New Roman"/>
          <w:sz w:val="22"/>
          <w:szCs w:val="22"/>
        </w:rPr>
        <w:t xml:space="preserve">Субъект торговли (далее претендент), подает заявку в письменной форме (приложение 1 к извещению). Любой претендент вправе подать заявку на одно или на несколько мест организованной торговли. </w:t>
      </w:r>
    </w:p>
    <w:p>
      <w:pPr>
        <w:pStyle w:val="Normal"/>
        <w:spacing w:lineRule="auto" w:line="240" w:before="0" w:after="0"/>
        <w:ind w:firstLine="708"/>
        <w:jc w:val="both"/>
        <w:rPr>
          <w:sz w:val="22"/>
          <w:szCs w:val="22"/>
        </w:rPr>
      </w:pPr>
      <w:r>
        <w:rPr>
          <w:rFonts w:cs="Times New Roman" w:ascii="Times New Roman" w:hAnsi="Times New Roman"/>
          <w:sz w:val="22"/>
          <w:szCs w:val="22"/>
        </w:rPr>
        <w:t>К заявке прилагаются копии следующих документов:</w:t>
      </w:r>
    </w:p>
    <w:p>
      <w:pPr>
        <w:pStyle w:val="Normal"/>
        <w:spacing w:lineRule="auto" w:line="240" w:before="0" w:after="0"/>
        <w:ind w:firstLine="708"/>
        <w:jc w:val="both"/>
        <w:rPr>
          <w:sz w:val="22"/>
          <w:szCs w:val="22"/>
        </w:rPr>
      </w:pPr>
      <w:r>
        <w:rPr>
          <w:rFonts w:cs="Times New Roman" w:ascii="Times New Roman" w:hAnsi="Times New Roman"/>
          <w:sz w:val="22"/>
          <w:szCs w:val="22"/>
        </w:rPr>
        <w:t>1) выписка из Единого государственного реестра юридических лиц, полученная не ранее чем за один месяц до дня подачи заявки, либо ее копия (для юридических лиц);</w:t>
      </w:r>
    </w:p>
    <w:p>
      <w:pPr>
        <w:pStyle w:val="Normal"/>
        <w:spacing w:lineRule="auto" w:line="240" w:before="0" w:after="0"/>
        <w:ind w:firstLine="708"/>
        <w:jc w:val="both"/>
        <w:rPr>
          <w:sz w:val="22"/>
          <w:szCs w:val="22"/>
        </w:rPr>
      </w:pPr>
      <w:r>
        <w:rPr>
          <w:rFonts w:cs="Times New Roman" w:ascii="Times New Roman" w:hAnsi="Times New Roman"/>
          <w:sz w:val="22"/>
          <w:szCs w:val="22"/>
        </w:rPr>
        <w:t>2) копия паспорта, заверенная индивидуальным предпринимателем (для индивидуальных предпринимателей);</w:t>
      </w:r>
    </w:p>
    <w:p>
      <w:pPr>
        <w:pStyle w:val="Normal"/>
        <w:spacing w:lineRule="auto" w:line="240" w:before="0" w:after="0"/>
        <w:ind w:firstLine="708"/>
        <w:jc w:val="both"/>
        <w:rPr>
          <w:sz w:val="22"/>
          <w:szCs w:val="22"/>
        </w:rPr>
      </w:pPr>
      <w:r>
        <w:rPr>
          <w:rFonts w:cs="Times New Roman" w:ascii="Times New Roman" w:hAnsi="Times New Roman"/>
          <w:sz w:val="22"/>
          <w:szCs w:val="22"/>
        </w:rPr>
        <w:t>3) выписка из Единого государственного реестра индивидуальных предпринимателей, полученная не ранее чем за один месяц до дня подачи заявки, либо ее копия (для индивидуальных предпринимателей);</w:t>
      </w:r>
    </w:p>
    <w:p>
      <w:pPr>
        <w:pStyle w:val="Normal"/>
        <w:spacing w:lineRule="auto" w:line="240" w:before="0" w:after="0"/>
        <w:ind w:firstLine="708"/>
        <w:jc w:val="both"/>
        <w:rPr>
          <w:sz w:val="22"/>
          <w:szCs w:val="22"/>
        </w:rPr>
      </w:pPr>
      <w:r>
        <w:rPr>
          <w:rFonts w:cs="Times New Roman" w:ascii="Times New Roman" w:hAnsi="Times New Roman"/>
          <w:sz w:val="22"/>
          <w:szCs w:val="22"/>
        </w:rPr>
        <w:t xml:space="preserve">4) сведения об отсутствии задолженности по арендным платежам в бюджет муниципального образования «Копейский городской округ» по состоянию на первое число месяца, предыдущего месяцу, в котором подана заявка на участие в аукционе. </w:t>
      </w:r>
    </w:p>
    <w:p>
      <w:pPr>
        <w:pStyle w:val="Normal"/>
        <w:spacing w:lineRule="auto" w:line="240" w:before="0" w:after="0"/>
        <w:ind w:firstLine="708"/>
        <w:jc w:val="both"/>
        <w:rPr>
          <w:sz w:val="22"/>
          <w:szCs w:val="22"/>
        </w:rPr>
      </w:pPr>
      <w:r>
        <w:rPr>
          <w:rFonts w:cs="Times New Roman" w:ascii="Times New Roman" w:hAnsi="Times New Roman"/>
          <w:sz w:val="22"/>
          <w:szCs w:val="22"/>
        </w:rPr>
        <w:t>В случае наличия задолженности по арендным платежам в бюджет муниципального образования «Копейский городской округ» заявитель вправе предоставить документ, подтверждающий сумму задолженности, с приложенными документами, подтверждающими оплату этой задолженности;</w:t>
      </w:r>
    </w:p>
    <w:p>
      <w:pPr>
        <w:pStyle w:val="Normal"/>
        <w:spacing w:lineRule="auto" w:line="240" w:before="0" w:after="0"/>
        <w:ind w:firstLine="708"/>
        <w:jc w:val="both"/>
        <w:rPr>
          <w:sz w:val="22"/>
          <w:szCs w:val="22"/>
        </w:rPr>
      </w:pPr>
      <w:r>
        <w:rPr>
          <w:rFonts w:cs="Times New Roman" w:ascii="Times New Roman" w:hAnsi="Times New Roman"/>
          <w:sz w:val="22"/>
          <w:szCs w:val="22"/>
        </w:rPr>
        <w:t>5) документ, подтверждающий полномочия лица на осуществление действий от имени претендента;</w:t>
      </w:r>
    </w:p>
    <w:p>
      <w:pPr>
        <w:pStyle w:val="Normal"/>
        <w:spacing w:lineRule="auto" w:line="240" w:before="0" w:after="0"/>
        <w:ind w:firstLine="708"/>
        <w:jc w:val="both"/>
        <w:rPr>
          <w:sz w:val="22"/>
          <w:szCs w:val="22"/>
        </w:rPr>
      </w:pPr>
      <w:r>
        <w:rPr>
          <w:rFonts w:cs="Times New Roman" w:ascii="Times New Roman" w:hAnsi="Times New Roman"/>
          <w:sz w:val="22"/>
          <w:szCs w:val="22"/>
        </w:rPr>
        <w:t>6) банковские реквизиты расчетного счета.</w:t>
      </w:r>
    </w:p>
    <w:p>
      <w:pPr>
        <w:pStyle w:val="Normal"/>
        <w:spacing w:lineRule="auto" w:line="240" w:before="0" w:after="0"/>
        <w:ind w:firstLine="709"/>
        <w:jc w:val="both"/>
        <w:rPr/>
      </w:pPr>
      <w:r>
        <w:rPr>
          <w:rFonts w:cs="Times New Roman" w:ascii="Times New Roman" w:hAnsi="Times New Roman"/>
          <w:sz w:val="22"/>
          <w:szCs w:val="22"/>
        </w:rPr>
        <w:t xml:space="preserve">4. Заявки на участие в аукционе подаются: кабинет 106 управления экономического развития администрации Копейского городского округа по адресу: 456618, Челябинская область, г. Копейск, ул. Ленина, 52, а также через электронную почту – </w:t>
      </w:r>
      <w:hyperlink r:id="rId2">
        <w:r>
          <w:rPr>
            <w:rStyle w:val="Hyperlink"/>
            <w:rFonts w:cs="Times New Roman" w:ascii="Times New Roman" w:hAnsi="Times New Roman"/>
            <w:sz w:val="22"/>
            <w:szCs w:val="22"/>
            <w:lang w:val="en-US"/>
          </w:rPr>
          <w:t>torg</w:t>
        </w:r>
        <w:r>
          <w:rPr>
            <w:rStyle w:val="Hyperlink"/>
            <w:rFonts w:cs="Times New Roman" w:ascii="Times New Roman" w:hAnsi="Times New Roman"/>
            <w:sz w:val="22"/>
            <w:szCs w:val="22"/>
          </w:rPr>
          <w:t>@</w:t>
        </w:r>
        <w:r>
          <w:rPr>
            <w:rStyle w:val="Hyperlink"/>
            <w:rFonts w:cs="Times New Roman" w:ascii="Times New Roman" w:hAnsi="Times New Roman"/>
            <w:sz w:val="22"/>
            <w:szCs w:val="22"/>
            <w:lang w:val="en-US"/>
          </w:rPr>
          <w:t>akgo</w:t>
        </w:r>
        <w:r>
          <w:rPr>
            <w:rStyle w:val="Hyperlink"/>
            <w:rFonts w:cs="Times New Roman" w:ascii="Times New Roman" w:hAnsi="Times New Roman"/>
            <w:sz w:val="22"/>
            <w:szCs w:val="22"/>
          </w:rPr>
          <w:t>74.</w:t>
        </w:r>
        <w:r>
          <w:rPr>
            <w:rStyle w:val="Hyperlink"/>
            <w:rFonts w:cs="Times New Roman" w:ascii="Times New Roman" w:hAnsi="Times New Roman"/>
            <w:sz w:val="22"/>
            <w:szCs w:val="22"/>
            <w:lang w:val="en-US"/>
          </w:rPr>
          <w:t>ru</w:t>
        </w:r>
      </w:hyperlink>
    </w:p>
    <w:p>
      <w:pPr>
        <w:pStyle w:val="Normal"/>
        <w:spacing w:lineRule="auto" w:line="240" w:before="0" w:after="0"/>
        <w:ind w:firstLine="708"/>
        <w:rPr>
          <w:sz w:val="22"/>
          <w:szCs w:val="22"/>
        </w:rPr>
      </w:pPr>
      <w:r>
        <w:rPr>
          <w:rFonts w:cs="Times New Roman" w:ascii="Times New Roman" w:hAnsi="Times New Roman"/>
          <w:b/>
          <w:sz w:val="22"/>
          <w:szCs w:val="22"/>
        </w:rPr>
        <w:t xml:space="preserve">Начало приема заявок на участие в аукционе: с 8-30 час. 10 марта 2026 г. </w:t>
      </w:r>
    </w:p>
    <w:p>
      <w:pPr>
        <w:pStyle w:val="Normal"/>
        <w:spacing w:lineRule="auto" w:line="240" w:before="0" w:after="0"/>
        <w:ind w:firstLine="709"/>
        <w:rPr>
          <w:sz w:val="22"/>
          <w:szCs w:val="22"/>
        </w:rPr>
      </w:pPr>
      <w:r>
        <w:rPr>
          <w:rFonts w:cs="Times New Roman" w:ascii="Times New Roman" w:hAnsi="Times New Roman"/>
          <w:b/>
          <w:sz w:val="22"/>
          <w:szCs w:val="22"/>
        </w:rPr>
        <w:t xml:space="preserve">Окончания приема заявок на участие в аукционе: до 17-00 час. 08 апреля 2026г. </w:t>
      </w:r>
    </w:p>
    <w:p>
      <w:pPr>
        <w:pStyle w:val="Normal"/>
        <w:spacing w:lineRule="auto" w:line="240" w:before="0" w:after="0"/>
        <w:ind w:firstLine="709"/>
        <w:rPr>
          <w:sz w:val="22"/>
          <w:szCs w:val="22"/>
        </w:rPr>
      </w:pPr>
      <w:r>
        <w:rPr>
          <w:rFonts w:cs="Times New Roman" w:ascii="Times New Roman" w:hAnsi="Times New Roman"/>
          <w:sz w:val="22"/>
          <w:szCs w:val="22"/>
        </w:rPr>
        <w:t>Претендент, подавший заявку на участие в аукционе, вправе отозвать заявку в любое время до момента рассмотрения Комиссией заявок на участие в аукционе.</w:t>
      </w:r>
    </w:p>
    <w:p>
      <w:pPr>
        <w:pStyle w:val="Normal"/>
        <w:spacing w:lineRule="auto" w:line="240" w:before="0" w:after="0"/>
        <w:ind w:firstLine="720"/>
        <w:jc w:val="both"/>
        <w:rPr>
          <w:sz w:val="22"/>
          <w:szCs w:val="22"/>
        </w:rPr>
      </w:pPr>
      <w:r>
        <w:rPr>
          <w:rFonts w:eastAsia="Calibri" w:cs="Times New Roman" w:ascii="Times New Roman" w:hAnsi="Times New Roman"/>
          <w:sz w:val="22"/>
          <w:szCs w:val="22"/>
          <w:lang w:eastAsia="ru-RU"/>
        </w:rPr>
        <w:t>Организатор отказывает в приеме заявки на участие в аукционе в случае:</w:t>
      </w:r>
    </w:p>
    <w:p>
      <w:pPr>
        <w:pStyle w:val="Normal"/>
        <w:numPr>
          <w:ilvl w:val="0"/>
          <w:numId w:val="4"/>
        </w:numPr>
        <w:spacing w:lineRule="auto" w:line="240" w:before="0" w:after="0"/>
        <w:ind w:firstLine="720" w:left="0"/>
        <w:jc w:val="both"/>
        <w:rPr>
          <w:sz w:val="22"/>
          <w:szCs w:val="22"/>
        </w:rPr>
      </w:pPr>
      <w:r>
        <w:rPr>
          <w:rFonts w:eastAsia="Calibri" w:cs="Times New Roman" w:ascii="Times New Roman" w:hAnsi="Times New Roman"/>
          <w:sz w:val="22"/>
          <w:szCs w:val="22"/>
          <w:lang w:eastAsia="ru-RU"/>
        </w:rPr>
        <w:t>предоставления заявки на участие в аукционе лицом, не имеющим права действовать от имени хозяйствующего субъекта;</w:t>
      </w:r>
    </w:p>
    <w:p>
      <w:pPr>
        <w:pStyle w:val="Normal"/>
        <w:numPr>
          <w:ilvl w:val="0"/>
          <w:numId w:val="5"/>
        </w:numPr>
        <w:spacing w:lineRule="auto" w:line="240" w:before="0" w:after="0"/>
        <w:ind w:firstLine="720" w:left="0"/>
        <w:jc w:val="both"/>
        <w:rPr>
          <w:sz w:val="22"/>
          <w:szCs w:val="22"/>
        </w:rPr>
      </w:pPr>
      <w:r>
        <w:rPr>
          <w:rFonts w:eastAsia="Calibri" w:cs="Times New Roman" w:ascii="Times New Roman" w:hAnsi="Times New Roman"/>
          <w:sz w:val="22"/>
          <w:szCs w:val="22"/>
          <w:lang w:eastAsia="ru-RU"/>
        </w:rPr>
        <w:t>подачи заявки на участие в аукционе по истечении установленного срока для подачи заявок.</w:t>
      </w:r>
    </w:p>
    <w:p>
      <w:pPr>
        <w:pStyle w:val="Normal"/>
        <w:spacing w:lineRule="auto" w:line="240" w:before="0" w:after="0"/>
        <w:ind w:firstLine="720"/>
        <w:jc w:val="both"/>
        <w:rPr>
          <w:sz w:val="22"/>
          <w:szCs w:val="22"/>
        </w:rPr>
      </w:pPr>
      <w:r>
        <w:rPr>
          <w:rFonts w:eastAsia="Calibri" w:cs="Times New Roman" w:ascii="Times New Roman" w:hAnsi="Times New Roman"/>
          <w:sz w:val="22"/>
          <w:szCs w:val="22"/>
          <w:lang w:eastAsia="ru-RU"/>
        </w:rPr>
        <w:t>Претендент не допускается к участию в аукционе в случае:</w:t>
      </w:r>
    </w:p>
    <w:p>
      <w:pPr>
        <w:pStyle w:val="Normal"/>
        <w:spacing w:lineRule="auto" w:line="240" w:before="0" w:after="0"/>
        <w:ind w:firstLine="720"/>
        <w:jc w:val="both"/>
        <w:rPr>
          <w:sz w:val="22"/>
          <w:szCs w:val="22"/>
        </w:rPr>
      </w:pPr>
      <w:r>
        <w:rPr>
          <w:rFonts w:eastAsia="Calibri" w:cs="Times New Roman" w:ascii="Times New Roman" w:hAnsi="Times New Roman"/>
          <w:sz w:val="22"/>
          <w:szCs w:val="22"/>
          <w:lang w:eastAsia="ru-RU"/>
        </w:rPr>
        <w:t>1) подачи неполного пакета документов;</w:t>
      </w:r>
    </w:p>
    <w:p>
      <w:pPr>
        <w:pStyle w:val="Normal"/>
        <w:spacing w:lineRule="auto" w:line="240" w:before="0" w:after="0"/>
        <w:ind w:firstLine="720"/>
        <w:jc w:val="both"/>
        <w:rPr>
          <w:sz w:val="22"/>
          <w:szCs w:val="22"/>
        </w:rPr>
      </w:pPr>
      <w:r>
        <w:rPr>
          <w:rFonts w:eastAsia="Calibri" w:cs="Times New Roman" w:ascii="Times New Roman" w:hAnsi="Times New Roman"/>
          <w:sz w:val="22"/>
          <w:szCs w:val="22"/>
          <w:lang w:eastAsia="ru-RU"/>
        </w:rPr>
        <w:t>2) некорректного и (или) неполного заполнения формы заявки на участие в аукционе;</w:t>
      </w:r>
    </w:p>
    <w:p>
      <w:pPr>
        <w:pStyle w:val="Normal"/>
        <w:spacing w:lineRule="auto" w:line="240" w:before="0" w:after="0"/>
        <w:ind w:firstLine="720"/>
        <w:jc w:val="both"/>
        <w:rPr>
          <w:sz w:val="22"/>
          <w:szCs w:val="22"/>
        </w:rPr>
      </w:pPr>
      <w:r>
        <w:rPr>
          <w:rFonts w:eastAsia="Calibri" w:cs="Times New Roman" w:ascii="Times New Roman" w:hAnsi="Times New Roman"/>
          <w:sz w:val="22"/>
          <w:szCs w:val="22"/>
          <w:lang w:eastAsia="ru-RU"/>
        </w:rPr>
        <w:t>3) если лицо, подавшее заявку на участие в аукционе, не является хозяйствующим субъектом;</w:t>
      </w:r>
    </w:p>
    <w:p>
      <w:pPr>
        <w:pStyle w:val="Normal"/>
        <w:spacing w:lineRule="auto" w:line="240" w:before="0" w:after="0"/>
        <w:ind w:firstLine="720"/>
        <w:jc w:val="both"/>
        <w:rPr>
          <w:sz w:val="22"/>
          <w:szCs w:val="22"/>
        </w:rPr>
      </w:pPr>
      <w:r>
        <w:rPr>
          <w:rFonts w:eastAsia="Calibri" w:cs="Times New Roman" w:ascii="Times New Roman" w:hAnsi="Times New Roman"/>
          <w:sz w:val="22"/>
          <w:szCs w:val="22"/>
          <w:lang w:eastAsia="ru-RU"/>
        </w:rPr>
        <w:t>4) наличия сведений о хозяйствующем субъекте, об учредителях (участниках), членах коллегиальных исполнительных органов хозяйствующего субъекта, лицах, исполняющих функции единоличного исполнительного органа хозяйствующего субъекта, являющегося юридическим лицом, в реестре недобросовестных участников аукционов;</w:t>
      </w:r>
    </w:p>
    <w:p>
      <w:pPr>
        <w:pStyle w:val="Normal"/>
        <w:spacing w:lineRule="auto" w:line="240" w:before="0" w:after="0"/>
        <w:ind w:firstLine="720"/>
        <w:jc w:val="both"/>
        <w:rPr>
          <w:sz w:val="22"/>
          <w:szCs w:val="22"/>
        </w:rPr>
      </w:pPr>
      <w:bookmarkStart w:id="0" w:name="sub_1112"/>
      <w:r>
        <w:rPr>
          <w:rFonts w:eastAsia="Calibri" w:cs="Times New Roman" w:ascii="Times New Roman" w:hAnsi="Times New Roman"/>
          <w:sz w:val="22"/>
          <w:szCs w:val="22"/>
          <w:lang w:eastAsia="ru-RU"/>
        </w:rPr>
        <w:t>5) наличия задолженности по арендным платежам в бюджет Копейского городского округа.</w:t>
      </w:r>
      <w:bookmarkEnd w:id="0"/>
    </w:p>
    <w:p>
      <w:pPr>
        <w:pStyle w:val="Normal"/>
        <w:spacing w:lineRule="auto" w:line="240" w:before="0" w:after="0"/>
        <w:ind w:firstLine="709"/>
        <w:jc w:val="both"/>
        <w:rPr>
          <w:sz w:val="22"/>
          <w:szCs w:val="22"/>
        </w:rPr>
      </w:pPr>
      <w:r>
        <w:rPr>
          <w:rFonts w:cs="Times New Roman" w:ascii="Times New Roman" w:hAnsi="Times New Roman"/>
          <w:b/>
          <w:sz w:val="22"/>
          <w:szCs w:val="22"/>
        </w:rPr>
        <w:t>5. Рассмотрение заявок на участие в аукционе проводится 10 апреля 2026 г., в 11-30 часов в администрации Копейского городского округа</w:t>
      </w:r>
      <w:r>
        <w:rPr>
          <w:rFonts w:cs="Times New Roman" w:ascii="Times New Roman" w:hAnsi="Times New Roman"/>
          <w:sz w:val="22"/>
          <w:szCs w:val="22"/>
        </w:rPr>
        <w:t xml:space="preserve"> </w:t>
      </w:r>
      <w:r>
        <w:rPr>
          <w:rFonts w:cs="Times New Roman" w:ascii="Times New Roman" w:hAnsi="Times New Roman"/>
          <w:b/>
          <w:sz w:val="22"/>
          <w:szCs w:val="22"/>
        </w:rPr>
        <w:t>ул. Ленина, 52, 1 этаж зал заседаний.</w:t>
      </w:r>
    </w:p>
    <w:p>
      <w:pPr>
        <w:pStyle w:val="Normal"/>
        <w:spacing w:lineRule="auto" w:line="240" w:before="0" w:after="0"/>
        <w:ind w:firstLine="708"/>
        <w:jc w:val="both"/>
        <w:rPr>
          <w:sz w:val="22"/>
          <w:szCs w:val="22"/>
        </w:rPr>
      </w:pPr>
      <w:r>
        <w:rPr>
          <w:rFonts w:cs="Times New Roman" w:ascii="Times New Roman" w:hAnsi="Times New Roman"/>
          <w:sz w:val="22"/>
          <w:szCs w:val="22"/>
        </w:rPr>
        <w:t xml:space="preserve">Претендент вносит задаток на участие в аукционе за право на заключение договора в размере пятидесяти процентов от начальной цены </w:t>
      </w:r>
      <w:r>
        <w:rPr>
          <w:rFonts w:cs="Times New Roman" w:ascii="Times New Roman" w:hAnsi="Times New Roman"/>
          <w:b/>
          <w:sz w:val="22"/>
          <w:szCs w:val="22"/>
        </w:rPr>
        <w:t>в срок до 12-00 час. 08 апреля 2026 г</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Реквизиты счета для перечисления задатка: Финансовое управление администрации Копейского городского округа (администрация Копейского городского округа, л/с 05321100009ВР) ОКЦ № 5 УГУ БАНКА РОССИИ // УФК по Челябинской области г. Челябинск, р/с 03232643757280006900, кор/сч 40102810645370000062, БИК 017501500, ИНН 7411005270, КПП 743001001, ОКТМО 75728000.</w:t>
      </w:r>
    </w:p>
    <w:p>
      <w:pPr>
        <w:pStyle w:val="Normal"/>
        <w:spacing w:lineRule="auto" w:line="240" w:before="0" w:after="0"/>
        <w:ind w:firstLine="709"/>
        <w:jc w:val="both"/>
        <w:rPr>
          <w:sz w:val="22"/>
          <w:szCs w:val="22"/>
        </w:rPr>
      </w:pPr>
      <w:r>
        <w:rPr>
          <w:rFonts w:eastAsia="Times New Roman" w:cs="Times New Roman" w:ascii="Times New Roman" w:hAnsi="Times New Roman"/>
          <w:b/>
          <w:sz w:val="22"/>
          <w:szCs w:val="22"/>
          <w:lang w:eastAsia="ru-RU"/>
        </w:rPr>
        <w:t>Назначение платежа</w:t>
      </w:r>
      <w:r>
        <w:rPr>
          <w:rFonts w:eastAsia="Times New Roman" w:cs="Times New Roman" w:ascii="Times New Roman" w:hAnsi="Times New Roman"/>
          <w:sz w:val="22"/>
          <w:szCs w:val="22"/>
          <w:lang w:eastAsia="ru-RU"/>
        </w:rPr>
        <w:t>: обеспечение заявки на участие в аукционе на предоставление права использования торгового места для размещения нестационарных объектов сезонной торговли.</w:t>
      </w:r>
    </w:p>
    <w:p>
      <w:pPr>
        <w:pStyle w:val="Normal"/>
        <w:spacing w:lineRule="auto" w:line="240" w:before="0" w:after="0"/>
        <w:ind w:firstLine="708"/>
        <w:jc w:val="both"/>
        <w:rPr>
          <w:sz w:val="22"/>
          <w:szCs w:val="22"/>
        </w:rPr>
      </w:pPr>
      <w:r>
        <w:rPr>
          <w:rFonts w:cs="Times New Roman" w:ascii="Times New Roman" w:hAnsi="Times New Roman"/>
          <w:sz w:val="22"/>
          <w:szCs w:val="22"/>
        </w:rPr>
        <w:t>Требование о задатке на участие в аукционе в равной мере распространяется на всех участников аукциона.</w:t>
      </w:r>
    </w:p>
    <w:p>
      <w:pPr>
        <w:pStyle w:val="Normal"/>
        <w:spacing w:lineRule="auto" w:line="240" w:before="0" w:after="0"/>
        <w:ind w:firstLine="709"/>
        <w:jc w:val="both"/>
        <w:rPr>
          <w:sz w:val="22"/>
          <w:szCs w:val="22"/>
        </w:rPr>
      </w:pPr>
      <w:r>
        <w:rPr>
          <w:rFonts w:cs="Times New Roman" w:ascii="Times New Roman" w:hAnsi="Times New Roman"/>
          <w:b/>
          <w:sz w:val="22"/>
          <w:szCs w:val="22"/>
        </w:rPr>
        <w:t>6. Проведение аукциона состоится в администрации Копейского городского округа ул. Ленина, 52, 1 этаж зал заседаний 14 апреля 2026 г., 1</w:t>
      </w:r>
      <w:bookmarkStart w:id="1" w:name="_GoBack"/>
      <w:bookmarkEnd w:id="1"/>
      <w:r>
        <w:rPr>
          <w:rFonts w:cs="Times New Roman" w:ascii="Times New Roman" w:hAnsi="Times New Roman"/>
          <w:b/>
          <w:sz w:val="22"/>
          <w:szCs w:val="22"/>
        </w:rPr>
        <w:t>1-30 часов.</w:t>
      </w:r>
    </w:p>
    <w:p>
      <w:pPr>
        <w:pStyle w:val="Normal"/>
        <w:spacing w:lineRule="auto" w:line="240" w:before="0" w:after="0"/>
        <w:ind w:firstLine="709"/>
        <w:jc w:val="both"/>
        <w:rPr>
          <w:sz w:val="22"/>
          <w:szCs w:val="22"/>
        </w:rPr>
      </w:pPr>
      <w:r>
        <w:rPr>
          <w:rFonts w:cs="Times New Roman" w:ascii="Times New Roman" w:hAnsi="Times New Roman"/>
          <w:sz w:val="22"/>
          <w:szCs w:val="22"/>
        </w:rPr>
        <w:t>Начальная цена за право на заключение договора на использование торгового места для размещения объекта сезонной торговли</w:t>
      </w:r>
      <w:r>
        <w:rPr>
          <w:sz w:val="22"/>
          <w:szCs w:val="22"/>
        </w:rPr>
        <w:t xml:space="preserve"> </w:t>
      </w:r>
      <w:r>
        <w:rPr>
          <w:rFonts w:cs="Times New Roman" w:ascii="Times New Roman" w:hAnsi="Times New Roman"/>
          <w:sz w:val="22"/>
          <w:szCs w:val="22"/>
        </w:rPr>
        <w:t>для реализации сырого молока</w:t>
      </w:r>
      <w:r>
        <w:rPr>
          <w:sz w:val="22"/>
          <w:szCs w:val="22"/>
        </w:rPr>
        <w:t xml:space="preserve"> </w:t>
      </w:r>
      <w:r>
        <w:rPr>
          <w:rFonts w:cs="Times New Roman" w:ascii="Times New Roman" w:hAnsi="Times New Roman"/>
          <w:sz w:val="22"/>
          <w:szCs w:val="22"/>
        </w:rPr>
        <w:t xml:space="preserve">на период с 01.05.2026 по 31.10.2026 определена в соответствии с Методикой расчета платы за использование торговых мест для размещения нестационарных объектов сезонной торговли, утвержденной постановлением администрации Копейского городского округа от 12.03.2019 № 614-п. </w:t>
      </w:r>
    </w:p>
    <w:p>
      <w:pPr>
        <w:pStyle w:val="Normal"/>
        <w:spacing w:lineRule="auto" w:line="240" w:before="0" w:after="0"/>
        <w:ind w:firstLine="708"/>
        <w:jc w:val="both"/>
        <w:rPr>
          <w:sz w:val="22"/>
          <w:szCs w:val="22"/>
        </w:rPr>
      </w:pPr>
      <w:r>
        <w:rPr>
          <w:rFonts w:cs="Times New Roman" w:ascii="Times New Roman" w:hAnsi="Times New Roman"/>
          <w:sz w:val="22"/>
          <w:szCs w:val="22"/>
        </w:rPr>
        <w:t xml:space="preserve">Шаг аукциона устанавливается в размере </w:t>
      </w:r>
      <w:r>
        <w:rPr>
          <w:rFonts w:cs="Times New Roman" w:ascii="Times New Roman" w:hAnsi="Times New Roman"/>
          <w:b/>
          <w:sz w:val="22"/>
          <w:szCs w:val="22"/>
        </w:rPr>
        <w:t>десяти процентов</w:t>
      </w:r>
      <w:r>
        <w:rPr>
          <w:rFonts w:cs="Times New Roman" w:ascii="Times New Roman" w:hAnsi="Times New Roman"/>
          <w:sz w:val="22"/>
          <w:szCs w:val="22"/>
        </w:rPr>
        <w:t xml:space="preserve"> от начальной цены предмета аукциона и остается единым в течение всего аукциона.</w:t>
      </w:r>
    </w:p>
    <w:p>
      <w:pPr>
        <w:pStyle w:val="Normal"/>
        <w:spacing w:lineRule="auto" w:line="240" w:before="0" w:after="0"/>
        <w:ind w:firstLine="708"/>
        <w:jc w:val="both"/>
        <w:rPr>
          <w:sz w:val="22"/>
          <w:szCs w:val="22"/>
        </w:rPr>
      </w:pPr>
      <w:r>
        <w:rPr>
          <w:rFonts w:cs="Times New Roman" w:ascii="Times New Roman" w:hAnsi="Times New Roman"/>
          <w:sz w:val="22"/>
          <w:szCs w:val="22"/>
        </w:rPr>
        <w:t xml:space="preserve">Размер задатка устанавливается в размере </w:t>
      </w:r>
      <w:r>
        <w:rPr>
          <w:rFonts w:cs="Times New Roman" w:ascii="Times New Roman" w:hAnsi="Times New Roman"/>
          <w:b/>
          <w:sz w:val="22"/>
          <w:szCs w:val="22"/>
        </w:rPr>
        <w:t>пятидесяти процентов</w:t>
      </w:r>
      <w:r>
        <w:rPr>
          <w:rFonts w:cs="Times New Roman" w:ascii="Times New Roman" w:hAnsi="Times New Roman"/>
          <w:sz w:val="22"/>
          <w:szCs w:val="22"/>
        </w:rPr>
        <w:t xml:space="preserve"> от начальной цены за право на заключение договора:</w:t>
      </w:r>
    </w:p>
    <w:p>
      <w:pPr>
        <w:pStyle w:val="Normal"/>
        <w:spacing w:lineRule="auto" w:line="240" w:before="0" w:after="0"/>
        <w:ind w:firstLine="708"/>
        <w:jc w:val="both"/>
        <w:rPr>
          <w:rFonts w:ascii="Times New Roman" w:hAnsi="Times New Roman" w:cs="Times New Roman"/>
          <w:sz w:val="22"/>
          <w:szCs w:val="22"/>
        </w:rPr>
      </w:pPr>
      <w:r>
        <w:rPr>
          <w:rFonts w:cs="Times New Roman" w:ascii="Times New Roman" w:hAnsi="Times New Roman"/>
          <w:sz w:val="22"/>
          <w:szCs w:val="22"/>
        </w:rPr>
      </w:r>
    </w:p>
    <w:tbl>
      <w:tblPr>
        <w:tblStyle w:val="ae"/>
        <w:tblW w:w="9695"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700"/>
        <w:gridCol w:w="2694"/>
        <w:gridCol w:w="1419"/>
        <w:gridCol w:w="1146"/>
        <w:gridCol w:w="1393"/>
        <w:gridCol w:w="1197"/>
        <w:gridCol w:w="1146"/>
      </w:tblGrid>
      <w:tr>
        <w:trPr/>
        <w:tc>
          <w:tcPr>
            <w:tcW w:w="700" w:type="dxa"/>
            <w:tcBorders/>
          </w:tcPr>
          <w:p>
            <w:pPr>
              <w:pStyle w:val="Normal"/>
              <w:widowControl/>
              <w:suppressAutoHyphens w:val="true"/>
              <w:spacing w:lineRule="auto" w:line="240" w:before="0" w:after="0"/>
              <w:jc w:val="center"/>
              <w:rPr>
                <w:sz w:val="20"/>
                <w:szCs w:val="20"/>
              </w:rPr>
            </w:pPr>
            <w:r>
              <w:rPr>
                <w:rFonts w:eastAsia="Calibri" w:cs="Times New Roman" w:ascii="Times New Roman" w:hAnsi="Times New Roman"/>
                <w:kern w:val="0"/>
                <w:sz w:val="20"/>
                <w:szCs w:val="20"/>
                <w:lang w:val="ru-RU" w:eastAsia="en-US" w:bidi="ar-SA"/>
              </w:rPr>
              <w:t xml:space="preserve">№ </w:t>
            </w:r>
            <w:r>
              <w:rPr>
                <w:rFonts w:eastAsia="Calibri" w:cs="Times New Roman" w:ascii="Times New Roman" w:hAnsi="Times New Roman"/>
                <w:kern w:val="0"/>
                <w:sz w:val="20"/>
                <w:szCs w:val="20"/>
                <w:lang w:val="ru-RU" w:eastAsia="en-US" w:bidi="ar-SA"/>
              </w:rPr>
              <w:t>п/п (лот)</w:t>
            </w:r>
          </w:p>
        </w:tc>
        <w:tc>
          <w:tcPr>
            <w:tcW w:w="2694" w:type="dxa"/>
            <w:tcBorders/>
          </w:tcPr>
          <w:p>
            <w:pPr>
              <w:pStyle w:val="Normal"/>
              <w:widowControl/>
              <w:suppressAutoHyphens w:val="true"/>
              <w:spacing w:lineRule="auto" w:line="240" w:before="0" w:after="0"/>
              <w:jc w:val="center"/>
              <w:rPr>
                <w:sz w:val="20"/>
                <w:szCs w:val="20"/>
              </w:rPr>
            </w:pPr>
            <w:r>
              <w:rPr>
                <w:rFonts w:eastAsia="Times New Roman" w:cs="Times New Roman" w:ascii="Times New Roman" w:hAnsi="Times New Roman"/>
                <w:kern w:val="0"/>
                <w:sz w:val="20"/>
                <w:szCs w:val="20"/>
                <w:lang w:val="ru-RU" w:eastAsia="en-US" w:bidi="ar-SA"/>
              </w:rPr>
              <w:t>Адресный ориентир торгового места</w:t>
            </w:r>
          </w:p>
        </w:tc>
        <w:tc>
          <w:tcPr>
            <w:tcW w:w="1419" w:type="dxa"/>
            <w:tcBorders/>
          </w:tcPr>
          <w:p>
            <w:pPr>
              <w:pStyle w:val="Normal"/>
              <w:widowControl/>
              <w:suppressAutoHyphens w:val="true"/>
              <w:spacing w:lineRule="auto" w:line="240" w:before="0" w:after="0"/>
              <w:jc w:val="center"/>
              <w:rPr>
                <w:sz w:val="20"/>
                <w:szCs w:val="20"/>
              </w:rPr>
            </w:pPr>
            <w:r>
              <w:rPr>
                <w:rFonts w:eastAsia="Calibri" w:cs="Times New Roman" w:ascii="Times New Roman" w:hAnsi="Times New Roman"/>
                <w:kern w:val="0"/>
                <w:sz w:val="20"/>
                <w:szCs w:val="20"/>
                <w:lang w:val="ru-RU" w:eastAsia="en-US" w:bidi="ar-SA"/>
              </w:rPr>
              <w:t>Ассортимент</w:t>
            </w:r>
          </w:p>
        </w:tc>
        <w:tc>
          <w:tcPr>
            <w:tcW w:w="1146" w:type="dxa"/>
            <w:tcBorders/>
          </w:tcPr>
          <w:p>
            <w:pPr>
              <w:pStyle w:val="Normal"/>
              <w:widowControl/>
              <w:suppressAutoHyphens w:val="true"/>
              <w:spacing w:lineRule="auto" w:line="240" w:before="0" w:after="0"/>
              <w:jc w:val="center"/>
              <w:rPr>
                <w:sz w:val="20"/>
                <w:szCs w:val="20"/>
              </w:rPr>
            </w:pPr>
            <w:r>
              <w:rPr>
                <w:rFonts w:eastAsia="Times New Roman" w:cs="Times New Roman" w:ascii="Times New Roman" w:hAnsi="Times New Roman"/>
                <w:kern w:val="0"/>
                <w:sz w:val="20"/>
                <w:szCs w:val="20"/>
                <w:lang w:val="ru-RU" w:eastAsia="en-US" w:bidi="ar-SA"/>
              </w:rPr>
              <w:t>Площадь торгового места, м2</w:t>
            </w:r>
          </w:p>
        </w:tc>
        <w:tc>
          <w:tcPr>
            <w:tcW w:w="1393" w:type="dxa"/>
            <w:tcBorders/>
          </w:tcPr>
          <w:p>
            <w:pPr>
              <w:pStyle w:val="Normal"/>
              <w:widowControl/>
              <w:suppressAutoHyphens w:val="true"/>
              <w:spacing w:lineRule="auto" w:line="240" w:before="0" w:after="0"/>
              <w:jc w:val="center"/>
              <w:rPr>
                <w:sz w:val="20"/>
                <w:szCs w:val="20"/>
              </w:rPr>
            </w:pPr>
            <w:r>
              <w:rPr>
                <w:rFonts w:eastAsia="Times New Roman" w:cs="Times New Roman" w:ascii="Times New Roman" w:hAnsi="Times New Roman"/>
                <w:kern w:val="0"/>
                <w:sz w:val="20"/>
                <w:szCs w:val="20"/>
                <w:lang w:val="ru-RU" w:eastAsia="en-US" w:bidi="ar-SA"/>
              </w:rPr>
              <w:t>Начальная цена размещения</w:t>
            </w:r>
          </w:p>
          <w:p>
            <w:pPr>
              <w:pStyle w:val="Normal"/>
              <w:widowControl/>
              <w:suppressAutoHyphens w:val="true"/>
              <w:spacing w:lineRule="auto" w:line="240" w:before="0" w:after="0"/>
              <w:jc w:val="center"/>
              <w:rPr>
                <w:sz w:val="20"/>
                <w:szCs w:val="20"/>
              </w:rPr>
            </w:pPr>
            <w:r>
              <w:rPr>
                <w:rFonts w:eastAsia="Times New Roman" w:cs="Times New Roman" w:ascii="Times New Roman" w:hAnsi="Times New Roman"/>
                <w:kern w:val="0"/>
                <w:sz w:val="20"/>
                <w:szCs w:val="20"/>
                <w:lang w:val="ru-RU" w:eastAsia="en-US" w:bidi="ar-SA"/>
              </w:rPr>
              <w:t>(184 дня), рублей</w:t>
            </w:r>
          </w:p>
        </w:tc>
        <w:tc>
          <w:tcPr>
            <w:tcW w:w="1197" w:type="dxa"/>
            <w:tcBorders/>
          </w:tcPr>
          <w:p>
            <w:pPr>
              <w:pStyle w:val="Normal"/>
              <w:widowControl/>
              <w:suppressAutoHyphens w:val="true"/>
              <w:spacing w:lineRule="auto" w:line="240" w:before="0" w:after="0"/>
              <w:jc w:val="center"/>
              <w:rPr>
                <w:sz w:val="20"/>
                <w:szCs w:val="20"/>
              </w:rPr>
            </w:pPr>
            <w:r>
              <w:rPr>
                <w:rFonts w:eastAsia="Times New Roman" w:cs="Times New Roman" w:ascii="Times New Roman" w:hAnsi="Times New Roman"/>
                <w:kern w:val="0"/>
                <w:sz w:val="20"/>
                <w:szCs w:val="20"/>
                <w:lang w:val="ru-RU" w:eastAsia="en-US" w:bidi="ar-SA"/>
              </w:rPr>
              <w:t>Шаг, 10% от начальной цены, рублей</w:t>
            </w:r>
          </w:p>
        </w:tc>
        <w:tc>
          <w:tcPr>
            <w:tcW w:w="1146" w:type="dxa"/>
            <w:tcBorders/>
          </w:tcPr>
          <w:p>
            <w:pPr>
              <w:pStyle w:val="Normal"/>
              <w:widowControl/>
              <w:suppressAutoHyphens w:val="true"/>
              <w:spacing w:lineRule="auto" w:line="240" w:before="0" w:after="0"/>
              <w:jc w:val="center"/>
              <w:rPr>
                <w:sz w:val="20"/>
                <w:szCs w:val="20"/>
              </w:rPr>
            </w:pPr>
            <w:r>
              <w:rPr>
                <w:rFonts w:eastAsia="Times New Roman" w:cs="Times New Roman" w:ascii="Times New Roman" w:hAnsi="Times New Roman"/>
                <w:kern w:val="0"/>
                <w:sz w:val="20"/>
                <w:szCs w:val="20"/>
                <w:lang w:val="ru-RU" w:eastAsia="en-US" w:bidi="ar-SA"/>
              </w:rPr>
              <w:t>Задаток, 50% от начальной цены,</w:t>
            </w:r>
          </w:p>
          <w:p>
            <w:pPr>
              <w:pStyle w:val="Normal"/>
              <w:widowControl/>
              <w:suppressAutoHyphens w:val="true"/>
              <w:spacing w:lineRule="auto" w:line="240" w:before="0" w:after="0"/>
              <w:jc w:val="center"/>
              <w:rPr>
                <w:sz w:val="20"/>
                <w:szCs w:val="20"/>
              </w:rPr>
            </w:pPr>
            <w:r>
              <w:rPr>
                <w:rFonts w:eastAsia="Times New Roman" w:cs="Times New Roman" w:ascii="Times New Roman" w:hAnsi="Times New Roman"/>
                <w:kern w:val="0"/>
                <w:sz w:val="20"/>
                <w:szCs w:val="20"/>
                <w:lang w:val="ru-RU" w:eastAsia="en-US" w:bidi="ar-SA"/>
              </w:rPr>
              <w:t>рублей</w:t>
            </w:r>
          </w:p>
        </w:tc>
      </w:tr>
      <w:tr>
        <w:trPr/>
        <w:tc>
          <w:tcPr>
            <w:tcW w:w="700"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1</w:t>
            </w:r>
          </w:p>
        </w:tc>
        <w:tc>
          <w:tcPr>
            <w:tcW w:w="2694" w:type="dxa"/>
            <w:tcBorders/>
          </w:tcPr>
          <w:p>
            <w:pPr>
              <w:pStyle w:val="Normal"/>
              <w:widowControl/>
              <w:suppressAutoHyphens w:val="true"/>
              <w:spacing w:lineRule="auto" w:line="240" w:before="0" w:after="0"/>
              <w:jc w:val="center"/>
              <w:rPr>
                <w:sz w:val="22"/>
                <w:szCs w:val="22"/>
              </w:rPr>
            </w:pPr>
            <w:r>
              <w:rPr>
                <w:rFonts w:eastAsia="Times New Roman" w:cs="Times New Roman" w:ascii="Times New Roman" w:hAnsi="Times New Roman"/>
                <w:kern w:val="0"/>
                <w:sz w:val="22"/>
                <w:szCs w:val="22"/>
                <w:lang w:val="ru-RU" w:eastAsia="en-US" w:bidi="ar-SA"/>
              </w:rPr>
              <w:t>2</w:t>
            </w:r>
          </w:p>
        </w:tc>
        <w:tc>
          <w:tcPr>
            <w:tcW w:w="1419"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3</w:t>
            </w:r>
          </w:p>
        </w:tc>
        <w:tc>
          <w:tcPr>
            <w:tcW w:w="1146" w:type="dxa"/>
            <w:tcBorders/>
          </w:tcPr>
          <w:p>
            <w:pPr>
              <w:pStyle w:val="Normal"/>
              <w:widowControl/>
              <w:suppressAutoHyphens w:val="true"/>
              <w:spacing w:lineRule="auto" w:line="240" w:before="0" w:after="0"/>
              <w:jc w:val="center"/>
              <w:rPr>
                <w:sz w:val="22"/>
                <w:szCs w:val="22"/>
              </w:rPr>
            </w:pPr>
            <w:r>
              <w:rPr>
                <w:rFonts w:eastAsia="Times New Roman" w:cs="Times New Roman" w:ascii="Times New Roman" w:hAnsi="Times New Roman"/>
                <w:kern w:val="0"/>
                <w:sz w:val="22"/>
                <w:szCs w:val="22"/>
                <w:lang w:val="ru-RU" w:eastAsia="en-US" w:bidi="ar-SA"/>
              </w:rPr>
              <w:t>4</w:t>
            </w:r>
          </w:p>
        </w:tc>
        <w:tc>
          <w:tcPr>
            <w:tcW w:w="1393" w:type="dxa"/>
            <w:tcBorders/>
          </w:tcPr>
          <w:p>
            <w:pPr>
              <w:pStyle w:val="Normal"/>
              <w:widowControl/>
              <w:suppressAutoHyphens w:val="true"/>
              <w:spacing w:lineRule="auto" w:line="240" w:before="0" w:after="0"/>
              <w:jc w:val="center"/>
              <w:rPr>
                <w:sz w:val="22"/>
                <w:szCs w:val="22"/>
              </w:rPr>
            </w:pPr>
            <w:r>
              <w:rPr>
                <w:rFonts w:eastAsia="Times New Roman" w:cs="Times New Roman" w:ascii="Times New Roman" w:hAnsi="Times New Roman"/>
                <w:kern w:val="0"/>
                <w:sz w:val="22"/>
                <w:szCs w:val="22"/>
                <w:lang w:val="ru-RU" w:eastAsia="en-US" w:bidi="ar-SA"/>
              </w:rPr>
              <w:t>5</w:t>
            </w:r>
          </w:p>
        </w:tc>
        <w:tc>
          <w:tcPr>
            <w:tcW w:w="1197" w:type="dxa"/>
            <w:tcBorders/>
          </w:tcPr>
          <w:p>
            <w:pPr>
              <w:pStyle w:val="Normal"/>
              <w:widowControl/>
              <w:suppressAutoHyphens w:val="true"/>
              <w:spacing w:lineRule="auto" w:line="240" w:before="0" w:after="0"/>
              <w:jc w:val="center"/>
              <w:rPr>
                <w:sz w:val="22"/>
                <w:szCs w:val="22"/>
              </w:rPr>
            </w:pPr>
            <w:r>
              <w:rPr>
                <w:rFonts w:eastAsia="Times New Roman" w:cs="Times New Roman" w:ascii="Times New Roman" w:hAnsi="Times New Roman"/>
                <w:kern w:val="0"/>
                <w:sz w:val="22"/>
                <w:szCs w:val="22"/>
                <w:lang w:val="ru-RU" w:eastAsia="en-US" w:bidi="ar-SA"/>
              </w:rPr>
              <w:t>6</w:t>
            </w:r>
          </w:p>
        </w:tc>
        <w:tc>
          <w:tcPr>
            <w:tcW w:w="1146" w:type="dxa"/>
            <w:tcBorders/>
          </w:tcPr>
          <w:p>
            <w:pPr>
              <w:pStyle w:val="Normal"/>
              <w:widowControl/>
              <w:suppressAutoHyphens w:val="true"/>
              <w:spacing w:lineRule="auto" w:line="240" w:before="0" w:after="0"/>
              <w:jc w:val="center"/>
              <w:rPr>
                <w:sz w:val="22"/>
                <w:szCs w:val="22"/>
              </w:rPr>
            </w:pPr>
            <w:r>
              <w:rPr>
                <w:rFonts w:eastAsia="Times New Roman" w:cs="Times New Roman" w:ascii="Times New Roman" w:hAnsi="Times New Roman"/>
                <w:kern w:val="0"/>
                <w:sz w:val="22"/>
                <w:szCs w:val="22"/>
                <w:lang w:val="ru-RU" w:eastAsia="en-US" w:bidi="ar-SA"/>
              </w:rPr>
              <w:t>7</w:t>
            </w:r>
          </w:p>
        </w:tc>
      </w:tr>
      <w:tr>
        <w:trPr/>
        <w:tc>
          <w:tcPr>
            <w:tcW w:w="700"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1</w:t>
            </w:r>
          </w:p>
        </w:tc>
        <w:tc>
          <w:tcPr>
            <w:tcW w:w="2694" w:type="dxa"/>
            <w:tcBorders/>
          </w:tcPr>
          <w:p>
            <w:pPr>
              <w:pStyle w:val="Normal"/>
              <w:suppressAutoHyphens w:val="true"/>
              <w:spacing w:lineRule="auto" w:line="240" w:before="0" w:after="0"/>
              <w:rPr>
                <w:sz w:val="22"/>
                <w:szCs w:val="22"/>
              </w:rPr>
            </w:pPr>
            <w:r>
              <w:rPr>
                <w:rFonts w:eastAsia="Times New Roman" w:cs="Times New Roman" w:ascii="Times New Roman" w:hAnsi="Times New Roman"/>
                <w:sz w:val="22"/>
                <w:szCs w:val="22"/>
              </w:rPr>
              <w:t>ул. Луначарского, 30</w:t>
            </w:r>
          </w:p>
          <w:p>
            <w:pPr>
              <w:pStyle w:val="Normal"/>
              <w:suppressAutoHyphens w:val="true"/>
              <w:spacing w:lineRule="auto" w:line="240" w:before="0" w:after="0"/>
              <w:rPr>
                <w:sz w:val="22"/>
                <w:szCs w:val="22"/>
              </w:rPr>
            </w:pPr>
            <w:r>
              <w:rPr>
                <w:rFonts w:eastAsia="Times New Roman" w:cs="Times New Roman" w:ascii="Times New Roman" w:hAnsi="Times New Roman"/>
                <w:sz w:val="22"/>
                <w:szCs w:val="22"/>
              </w:rPr>
              <w:t>жилой массив Бажова</w:t>
            </w:r>
          </w:p>
        </w:tc>
        <w:tc>
          <w:tcPr>
            <w:tcW w:w="1419"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 xml:space="preserve">сырое молоко </w:t>
            </w:r>
            <w:r>
              <w:rPr>
                <w:rFonts w:eastAsia="Calibri" w:cs="Times New Roman" w:ascii="Times New Roman" w:hAnsi="Times New Roman"/>
                <w:kern w:val="0"/>
                <w:sz w:val="22"/>
                <w:szCs w:val="22"/>
                <w:lang w:val="ru-RU" w:eastAsia="en-US" w:bidi="ar-SA"/>
              </w:rPr>
              <w:t>и молочные продукты</w:t>
            </w:r>
          </w:p>
        </w:tc>
        <w:tc>
          <w:tcPr>
            <w:tcW w:w="1146"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5</w:t>
            </w:r>
          </w:p>
        </w:tc>
        <w:tc>
          <w:tcPr>
            <w:tcW w:w="1393"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4090</w:t>
            </w:r>
            <w:r>
              <w:rPr>
                <w:rFonts w:eastAsia="Calibri" w:cs="Times New Roman" w:ascii="Times New Roman" w:hAnsi="Times New Roman"/>
                <w:kern w:val="0"/>
                <w:sz w:val="22"/>
                <w:szCs w:val="22"/>
                <w:lang w:val="ru-RU" w:eastAsia="en-US" w:bidi="ar-SA"/>
              </w:rPr>
              <w:t>,00</w:t>
            </w:r>
          </w:p>
        </w:tc>
        <w:tc>
          <w:tcPr>
            <w:tcW w:w="1197"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409,00</w:t>
            </w:r>
          </w:p>
        </w:tc>
        <w:tc>
          <w:tcPr>
            <w:tcW w:w="1146"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2045,00</w:t>
            </w:r>
          </w:p>
        </w:tc>
      </w:tr>
      <w:tr>
        <w:trPr/>
        <w:tc>
          <w:tcPr>
            <w:tcW w:w="700"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2</w:t>
            </w:r>
          </w:p>
        </w:tc>
        <w:tc>
          <w:tcPr>
            <w:tcW w:w="2694" w:type="dxa"/>
            <w:tcBorders/>
          </w:tcPr>
          <w:p>
            <w:pPr>
              <w:pStyle w:val="Normal"/>
              <w:suppressAutoHyphens w:val="true"/>
              <w:spacing w:lineRule="auto" w:line="240" w:before="0" w:after="0"/>
              <w:rPr>
                <w:sz w:val="22"/>
                <w:szCs w:val="22"/>
              </w:rPr>
            </w:pPr>
            <w:r>
              <w:rPr>
                <w:rFonts w:eastAsia="Times New Roman" w:cs="Times New Roman" w:ascii="Times New Roman" w:hAnsi="Times New Roman"/>
                <w:sz w:val="22"/>
                <w:szCs w:val="22"/>
              </w:rPr>
              <w:t>ул. Электровозная, 13</w:t>
            </w:r>
          </w:p>
          <w:p>
            <w:pPr>
              <w:pStyle w:val="Normal"/>
              <w:suppressAutoHyphens w:val="true"/>
              <w:spacing w:lineRule="auto" w:line="240" w:before="0" w:after="0"/>
              <w:rPr>
                <w:sz w:val="22"/>
                <w:szCs w:val="22"/>
              </w:rPr>
            </w:pPr>
            <w:r>
              <w:rPr>
                <w:rFonts w:eastAsia="Times New Roman" w:cs="Times New Roman" w:ascii="Times New Roman" w:hAnsi="Times New Roman"/>
                <w:sz w:val="22"/>
                <w:szCs w:val="22"/>
              </w:rPr>
              <w:t>жилой массив Железнодорожный</w:t>
            </w:r>
          </w:p>
        </w:tc>
        <w:tc>
          <w:tcPr>
            <w:tcW w:w="1419"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сырое молоко и молочные продукты</w:t>
            </w:r>
          </w:p>
        </w:tc>
        <w:tc>
          <w:tcPr>
            <w:tcW w:w="1146"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5</w:t>
            </w:r>
          </w:p>
        </w:tc>
        <w:tc>
          <w:tcPr>
            <w:tcW w:w="1393"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5453</w:t>
            </w:r>
            <w:r>
              <w:rPr>
                <w:rFonts w:eastAsia="Calibri" w:cs="Times New Roman" w:ascii="Times New Roman" w:hAnsi="Times New Roman"/>
                <w:kern w:val="0"/>
                <w:sz w:val="22"/>
                <w:szCs w:val="22"/>
                <w:lang w:val="ru-RU" w:eastAsia="en-US" w:bidi="ar-SA"/>
              </w:rPr>
              <w:t>,00</w:t>
            </w:r>
          </w:p>
        </w:tc>
        <w:tc>
          <w:tcPr>
            <w:tcW w:w="1197"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545,30</w:t>
            </w:r>
          </w:p>
        </w:tc>
        <w:tc>
          <w:tcPr>
            <w:tcW w:w="1146"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2726,50</w:t>
            </w:r>
          </w:p>
        </w:tc>
      </w:tr>
      <w:tr>
        <w:trPr/>
        <w:tc>
          <w:tcPr>
            <w:tcW w:w="700"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3</w:t>
            </w:r>
          </w:p>
        </w:tc>
        <w:tc>
          <w:tcPr>
            <w:tcW w:w="2694" w:type="dxa"/>
            <w:tcBorders/>
          </w:tcPr>
          <w:p>
            <w:pPr>
              <w:pStyle w:val="Normal"/>
              <w:suppressAutoHyphens w:val="true"/>
              <w:spacing w:lineRule="auto" w:line="240" w:before="0" w:after="0"/>
              <w:rPr>
                <w:sz w:val="22"/>
                <w:szCs w:val="22"/>
              </w:rPr>
            </w:pPr>
            <w:r>
              <w:rPr>
                <w:rFonts w:eastAsia="Times New Roman" w:cs="Times New Roman" w:ascii="Times New Roman" w:hAnsi="Times New Roman"/>
                <w:sz w:val="22"/>
                <w:szCs w:val="22"/>
              </w:rPr>
              <w:t>ул. Ленина, 14</w:t>
            </w:r>
          </w:p>
          <w:p>
            <w:pPr>
              <w:pStyle w:val="Normal"/>
              <w:suppressAutoHyphens w:val="true"/>
              <w:spacing w:lineRule="auto" w:line="240" w:before="0" w:after="0"/>
              <w:rPr>
                <w:sz w:val="22"/>
                <w:szCs w:val="22"/>
              </w:rPr>
            </w:pPr>
            <w:r>
              <w:rPr>
                <w:rFonts w:eastAsia="Times New Roman" w:cs="Times New Roman" w:ascii="Times New Roman" w:hAnsi="Times New Roman"/>
                <w:sz w:val="22"/>
                <w:szCs w:val="22"/>
              </w:rPr>
              <w:t>жилой массив Октябрьский</w:t>
            </w:r>
          </w:p>
        </w:tc>
        <w:tc>
          <w:tcPr>
            <w:tcW w:w="1419"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сырое молоко и молочные продукты</w:t>
            </w:r>
          </w:p>
        </w:tc>
        <w:tc>
          <w:tcPr>
            <w:tcW w:w="1146"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5</w:t>
            </w:r>
          </w:p>
        </w:tc>
        <w:tc>
          <w:tcPr>
            <w:tcW w:w="1393"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2</w:t>
            </w:r>
            <w:r>
              <w:rPr>
                <w:rFonts w:eastAsia="Calibri" w:cs="Times New Roman" w:ascii="Times New Roman" w:hAnsi="Times New Roman"/>
                <w:kern w:val="0"/>
                <w:sz w:val="22"/>
                <w:szCs w:val="22"/>
                <w:lang w:val="ru-RU" w:eastAsia="en-US" w:bidi="ar-SA"/>
              </w:rPr>
              <w:t>045</w:t>
            </w:r>
            <w:r>
              <w:rPr>
                <w:rFonts w:eastAsia="Calibri" w:cs="Times New Roman" w:ascii="Times New Roman" w:hAnsi="Times New Roman"/>
                <w:kern w:val="0"/>
                <w:sz w:val="22"/>
                <w:szCs w:val="22"/>
                <w:lang w:val="ru-RU" w:eastAsia="en-US" w:bidi="ar-SA"/>
              </w:rPr>
              <w:t>,00</w:t>
            </w:r>
          </w:p>
        </w:tc>
        <w:tc>
          <w:tcPr>
            <w:tcW w:w="1197"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2</w:t>
            </w:r>
            <w:r>
              <w:rPr>
                <w:rFonts w:eastAsia="Calibri" w:cs="Times New Roman" w:ascii="Times New Roman" w:hAnsi="Times New Roman"/>
                <w:kern w:val="0"/>
                <w:sz w:val="22"/>
                <w:szCs w:val="22"/>
                <w:lang w:val="ru-RU" w:eastAsia="en-US" w:bidi="ar-SA"/>
              </w:rPr>
              <w:t>04,50</w:t>
            </w:r>
          </w:p>
        </w:tc>
        <w:tc>
          <w:tcPr>
            <w:tcW w:w="1146"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1022,50</w:t>
            </w:r>
          </w:p>
        </w:tc>
      </w:tr>
      <w:tr>
        <w:trPr/>
        <w:tc>
          <w:tcPr>
            <w:tcW w:w="700"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4</w:t>
            </w:r>
          </w:p>
        </w:tc>
        <w:tc>
          <w:tcPr>
            <w:tcW w:w="2694" w:type="dxa"/>
            <w:tcBorders/>
          </w:tcPr>
          <w:p>
            <w:pPr>
              <w:pStyle w:val="Normal"/>
              <w:suppressAutoHyphens w:val="true"/>
              <w:spacing w:lineRule="auto" w:line="240" w:before="0" w:after="0"/>
              <w:rPr>
                <w:sz w:val="22"/>
                <w:szCs w:val="22"/>
              </w:rPr>
            </w:pPr>
            <w:r>
              <w:rPr>
                <w:rFonts w:eastAsia="Times New Roman" w:cs="Times New Roman" w:ascii="Times New Roman" w:hAnsi="Times New Roman"/>
                <w:sz w:val="22"/>
                <w:szCs w:val="22"/>
              </w:rPr>
              <w:t>ул. Коммунистическая, 28</w:t>
            </w:r>
          </w:p>
          <w:p>
            <w:pPr>
              <w:pStyle w:val="Normal"/>
              <w:suppressAutoHyphens w:val="true"/>
              <w:spacing w:lineRule="auto" w:line="240" w:before="0" w:after="0"/>
              <w:rPr>
                <w:sz w:val="22"/>
                <w:szCs w:val="22"/>
              </w:rPr>
            </w:pPr>
            <w:r>
              <w:rPr>
                <w:rFonts w:eastAsia="Times New Roman" w:cs="Times New Roman" w:ascii="Times New Roman" w:hAnsi="Times New Roman"/>
                <w:sz w:val="22"/>
                <w:szCs w:val="22"/>
              </w:rPr>
              <w:t>жилой массив Старокамышинск</w:t>
            </w:r>
          </w:p>
        </w:tc>
        <w:tc>
          <w:tcPr>
            <w:tcW w:w="1419"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сырое молоко и молочные продукты</w:t>
            </w:r>
          </w:p>
        </w:tc>
        <w:tc>
          <w:tcPr>
            <w:tcW w:w="1146"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5</w:t>
            </w:r>
          </w:p>
        </w:tc>
        <w:tc>
          <w:tcPr>
            <w:tcW w:w="1393"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3408</w:t>
            </w:r>
            <w:r>
              <w:rPr>
                <w:rFonts w:eastAsia="Calibri" w:cs="Times New Roman" w:ascii="Times New Roman" w:hAnsi="Times New Roman"/>
                <w:kern w:val="0"/>
                <w:sz w:val="22"/>
                <w:szCs w:val="22"/>
                <w:lang w:val="ru-RU" w:eastAsia="en-US" w:bidi="ar-SA"/>
              </w:rPr>
              <w:t>,00</w:t>
            </w:r>
          </w:p>
        </w:tc>
        <w:tc>
          <w:tcPr>
            <w:tcW w:w="1197"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340,80</w:t>
            </w:r>
          </w:p>
        </w:tc>
        <w:tc>
          <w:tcPr>
            <w:tcW w:w="1146"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1704,00</w:t>
            </w:r>
          </w:p>
        </w:tc>
      </w:tr>
      <w:tr>
        <w:trPr/>
        <w:tc>
          <w:tcPr>
            <w:tcW w:w="700"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5</w:t>
            </w:r>
          </w:p>
        </w:tc>
        <w:tc>
          <w:tcPr>
            <w:tcW w:w="2694" w:type="dxa"/>
            <w:tcBorders/>
          </w:tcPr>
          <w:p>
            <w:pPr>
              <w:pStyle w:val="Normal"/>
              <w:suppressAutoHyphens w:val="true"/>
              <w:spacing w:lineRule="auto" w:line="240" w:before="0" w:after="0"/>
              <w:rPr>
                <w:sz w:val="22"/>
                <w:szCs w:val="22"/>
              </w:rPr>
            </w:pPr>
            <w:r>
              <w:rPr>
                <w:rFonts w:eastAsia="Times New Roman" w:cs="Times New Roman" w:ascii="Times New Roman" w:hAnsi="Times New Roman"/>
                <w:sz w:val="22"/>
                <w:szCs w:val="22"/>
              </w:rPr>
              <w:t>восточнее жилого дома № 35 по пр. Коммунистический</w:t>
            </w:r>
          </w:p>
          <w:p>
            <w:pPr>
              <w:pStyle w:val="Normal"/>
              <w:suppressAutoHyphens w:val="true"/>
              <w:spacing w:lineRule="auto" w:line="240" w:before="0" w:after="0"/>
              <w:rPr>
                <w:sz w:val="22"/>
                <w:szCs w:val="22"/>
              </w:rPr>
            </w:pPr>
            <w:r>
              <w:rPr>
                <w:rFonts w:eastAsia="Times New Roman" w:cs="Times New Roman" w:ascii="Times New Roman" w:hAnsi="Times New Roman"/>
                <w:sz w:val="22"/>
                <w:szCs w:val="22"/>
              </w:rPr>
              <w:t>центр города</w:t>
            </w:r>
          </w:p>
        </w:tc>
        <w:tc>
          <w:tcPr>
            <w:tcW w:w="1419"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сырое молоко и молочные продукты</w:t>
            </w:r>
          </w:p>
        </w:tc>
        <w:tc>
          <w:tcPr>
            <w:tcW w:w="1146"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5</w:t>
            </w:r>
          </w:p>
        </w:tc>
        <w:tc>
          <w:tcPr>
            <w:tcW w:w="1393"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6816</w:t>
            </w:r>
            <w:r>
              <w:rPr>
                <w:rFonts w:eastAsia="Calibri" w:cs="Times New Roman" w:ascii="Times New Roman" w:hAnsi="Times New Roman"/>
                <w:kern w:val="0"/>
                <w:sz w:val="22"/>
                <w:szCs w:val="22"/>
                <w:lang w:val="ru-RU" w:eastAsia="en-US" w:bidi="ar-SA"/>
              </w:rPr>
              <w:t>,00</w:t>
            </w:r>
          </w:p>
        </w:tc>
        <w:tc>
          <w:tcPr>
            <w:tcW w:w="1197"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681,60</w:t>
            </w:r>
          </w:p>
        </w:tc>
        <w:tc>
          <w:tcPr>
            <w:tcW w:w="1146"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3408</w:t>
            </w:r>
            <w:r>
              <w:rPr>
                <w:rFonts w:eastAsia="Calibri" w:cs="Times New Roman" w:ascii="Times New Roman" w:hAnsi="Times New Roman"/>
                <w:kern w:val="0"/>
                <w:sz w:val="22"/>
                <w:szCs w:val="22"/>
                <w:lang w:val="ru-RU" w:eastAsia="en-US" w:bidi="ar-SA"/>
              </w:rPr>
              <w:t>,00</w:t>
            </w:r>
          </w:p>
        </w:tc>
      </w:tr>
      <w:tr>
        <w:trPr/>
        <w:tc>
          <w:tcPr>
            <w:tcW w:w="700"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6</w:t>
            </w:r>
          </w:p>
        </w:tc>
        <w:tc>
          <w:tcPr>
            <w:tcW w:w="2694" w:type="dxa"/>
            <w:tcBorders/>
          </w:tcPr>
          <w:p>
            <w:pPr>
              <w:pStyle w:val="Normal"/>
              <w:suppressAutoHyphens w:val="true"/>
              <w:spacing w:lineRule="auto" w:line="240" w:before="0" w:after="0"/>
              <w:rPr>
                <w:sz w:val="22"/>
                <w:szCs w:val="22"/>
              </w:rPr>
            </w:pPr>
            <w:r>
              <w:rPr>
                <w:rFonts w:eastAsia="Times New Roman" w:cs="Times New Roman" w:ascii="Times New Roman" w:hAnsi="Times New Roman"/>
                <w:sz w:val="22"/>
                <w:szCs w:val="22"/>
              </w:rPr>
              <w:t>ул. 22 Партсъезда, 8</w:t>
            </w:r>
          </w:p>
          <w:p>
            <w:pPr>
              <w:pStyle w:val="Normal"/>
              <w:suppressAutoHyphens w:val="true"/>
              <w:spacing w:lineRule="auto" w:line="240" w:before="0" w:after="0"/>
              <w:rPr>
                <w:sz w:val="22"/>
                <w:szCs w:val="22"/>
              </w:rPr>
            </w:pPr>
            <w:r>
              <w:rPr>
                <w:rFonts w:eastAsia="Times New Roman" w:cs="Times New Roman" w:ascii="Times New Roman" w:hAnsi="Times New Roman"/>
                <w:sz w:val="22"/>
                <w:szCs w:val="22"/>
              </w:rPr>
              <w:t>жилой массив Вахрушево</w:t>
            </w:r>
          </w:p>
        </w:tc>
        <w:tc>
          <w:tcPr>
            <w:tcW w:w="1419"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сырое молоко и молочные продукты</w:t>
            </w:r>
          </w:p>
        </w:tc>
        <w:tc>
          <w:tcPr>
            <w:tcW w:w="1146"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5</w:t>
            </w:r>
          </w:p>
        </w:tc>
        <w:tc>
          <w:tcPr>
            <w:tcW w:w="1393"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2</w:t>
            </w:r>
            <w:r>
              <w:rPr>
                <w:rFonts w:eastAsia="Calibri" w:cs="Times New Roman" w:ascii="Times New Roman" w:hAnsi="Times New Roman"/>
                <w:kern w:val="0"/>
                <w:sz w:val="22"/>
                <w:szCs w:val="22"/>
                <w:lang w:val="ru-RU" w:eastAsia="en-US" w:bidi="ar-SA"/>
              </w:rPr>
              <w:t>045</w:t>
            </w:r>
            <w:r>
              <w:rPr>
                <w:rFonts w:eastAsia="Calibri" w:cs="Times New Roman" w:ascii="Times New Roman" w:hAnsi="Times New Roman"/>
                <w:kern w:val="0"/>
                <w:sz w:val="22"/>
                <w:szCs w:val="22"/>
                <w:lang w:val="ru-RU" w:eastAsia="en-US" w:bidi="ar-SA"/>
              </w:rPr>
              <w:t>,00</w:t>
            </w:r>
          </w:p>
        </w:tc>
        <w:tc>
          <w:tcPr>
            <w:tcW w:w="1197"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2</w:t>
            </w:r>
            <w:r>
              <w:rPr>
                <w:rFonts w:eastAsia="Calibri" w:cs="Times New Roman" w:ascii="Times New Roman" w:hAnsi="Times New Roman"/>
                <w:kern w:val="0"/>
                <w:sz w:val="22"/>
                <w:szCs w:val="22"/>
                <w:lang w:val="ru-RU" w:eastAsia="en-US" w:bidi="ar-SA"/>
              </w:rPr>
              <w:t>04,50</w:t>
            </w:r>
          </w:p>
        </w:tc>
        <w:tc>
          <w:tcPr>
            <w:tcW w:w="1146"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1022,50</w:t>
            </w:r>
          </w:p>
        </w:tc>
      </w:tr>
      <w:tr>
        <w:trPr/>
        <w:tc>
          <w:tcPr>
            <w:tcW w:w="700"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7</w:t>
            </w:r>
          </w:p>
        </w:tc>
        <w:tc>
          <w:tcPr>
            <w:tcW w:w="2694" w:type="dxa"/>
            <w:tcBorders/>
          </w:tcPr>
          <w:p>
            <w:pPr>
              <w:pStyle w:val="Normal"/>
              <w:suppressAutoHyphens w:val="true"/>
              <w:spacing w:lineRule="auto" w:line="240" w:before="0" w:after="0"/>
              <w:rPr>
                <w:sz w:val="22"/>
                <w:szCs w:val="22"/>
              </w:rPr>
            </w:pPr>
            <w:r>
              <w:rPr>
                <w:rFonts w:eastAsia="Times New Roman" w:cs="Times New Roman" w:ascii="Times New Roman" w:hAnsi="Times New Roman"/>
                <w:sz w:val="22"/>
                <w:szCs w:val="22"/>
              </w:rPr>
              <w:t>пр. Ильича, 12/1</w:t>
            </w:r>
          </w:p>
          <w:p>
            <w:pPr>
              <w:pStyle w:val="Normal"/>
              <w:suppressAutoHyphens w:val="true"/>
              <w:spacing w:lineRule="auto" w:line="240" w:before="0" w:after="0"/>
              <w:rPr>
                <w:sz w:val="22"/>
                <w:szCs w:val="22"/>
              </w:rPr>
            </w:pPr>
            <w:r>
              <w:rPr>
                <w:rFonts w:eastAsia="Times New Roman" w:cs="Times New Roman" w:ascii="Times New Roman" w:hAnsi="Times New Roman"/>
                <w:sz w:val="22"/>
                <w:szCs w:val="22"/>
              </w:rPr>
              <w:t>центр города</w:t>
            </w:r>
          </w:p>
        </w:tc>
        <w:tc>
          <w:tcPr>
            <w:tcW w:w="1419"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сырое молоко и молочные продукты</w:t>
            </w:r>
          </w:p>
        </w:tc>
        <w:tc>
          <w:tcPr>
            <w:tcW w:w="1146"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5</w:t>
            </w:r>
          </w:p>
        </w:tc>
        <w:tc>
          <w:tcPr>
            <w:tcW w:w="1393"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6816</w:t>
            </w:r>
            <w:r>
              <w:rPr>
                <w:rFonts w:eastAsia="Calibri" w:cs="Times New Roman" w:ascii="Times New Roman" w:hAnsi="Times New Roman"/>
                <w:kern w:val="0"/>
                <w:sz w:val="22"/>
                <w:szCs w:val="22"/>
                <w:lang w:val="ru-RU" w:eastAsia="en-US" w:bidi="ar-SA"/>
              </w:rPr>
              <w:t>,00</w:t>
            </w:r>
          </w:p>
        </w:tc>
        <w:tc>
          <w:tcPr>
            <w:tcW w:w="1197"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681,60</w:t>
            </w:r>
          </w:p>
        </w:tc>
        <w:tc>
          <w:tcPr>
            <w:tcW w:w="1146" w:type="dxa"/>
            <w:tcBorders/>
          </w:tcPr>
          <w:p>
            <w:pPr>
              <w:pStyle w:val="Normal"/>
              <w:widowControl/>
              <w:suppressAutoHyphens w:val="true"/>
              <w:spacing w:lineRule="auto" w:line="240" w:before="0" w:after="0"/>
              <w:jc w:val="center"/>
              <w:rPr>
                <w:sz w:val="22"/>
                <w:szCs w:val="22"/>
              </w:rPr>
            </w:pPr>
            <w:r>
              <w:rPr>
                <w:rFonts w:eastAsia="Calibri" w:cs="Times New Roman" w:ascii="Times New Roman" w:hAnsi="Times New Roman"/>
                <w:kern w:val="0"/>
                <w:sz w:val="22"/>
                <w:szCs w:val="22"/>
                <w:lang w:val="ru-RU" w:eastAsia="en-US" w:bidi="ar-SA"/>
              </w:rPr>
              <w:t>3408</w:t>
            </w:r>
            <w:r>
              <w:rPr>
                <w:rFonts w:eastAsia="Calibri" w:cs="Times New Roman" w:ascii="Times New Roman" w:hAnsi="Times New Roman"/>
                <w:kern w:val="0"/>
                <w:sz w:val="22"/>
                <w:szCs w:val="22"/>
                <w:lang w:val="ru-RU" w:eastAsia="en-US" w:bidi="ar-SA"/>
              </w:rPr>
              <w:t>,00</w:t>
            </w:r>
          </w:p>
        </w:tc>
      </w:tr>
    </w:tbl>
    <w:p>
      <w:pPr>
        <w:pStyle w:val="Normal"/>
        <w:spacing w:lineRule="auto" w:line="240" w:before="0" w:after="0"/>
        <w:jc w:val="both"/>
        <w:rPr>
          <w:sz w:val="22"/>
          <w:szCs w:val="22"/>
        </w:rPr>
      </w:pPr>
      <w:r>
        <w:rPr>
          <w:rFonts w:cs="Times New Roman" w:ascii="Times New Roman" w:hAnsi="Times New Roman"/>
          <w:sz w:val="22"/>
          <w:szCs w:val="22"/>
        </w:rPr>
        <w:tab/>
        <w:t>7. В аукционе могут участвовать только претенденты, признанные участниками аукциона. Участники аукциона имеют возможность принять непосредственное или через своих представителей участие в аукционе. Аукцион проводится в присутствии членов Комиссии, участников аукциона или их представителей.</w:t>
      </w:r>
    </w:p>
    <w:p>
      <w:pPr>
        <w:pStyle w:val="Normal"/>
        <w:spacing w:lineRule="auto" w:line="240" w:before="0" w:after="0"/>
        <w:ind w:firstLine="708"/>
        <w:jc w:val="both"/>
        <w:rPr>
          <w:sz w:val="22"/>
          <w:szCs w:val="22"/>
        </w:rPr>
      </w:pPr>
      <w:bookmarkStart w:id="2" w:name="sub_1101"/>
      <w:bookmarkEnd w:id="2"/>
      <w:r>
        <w:rPr>
          <w:rFonts w:cs="Times New Roman" w:ascii="Times New Roman" w:hAnsi="Times New Roman"/>
          <w:sz w:val="22"/>
          <w:szCs w:val="22"/>
        </w:rPr>
        <w:t xml:space="preserve">Участники аукциона непосредственно на процедуре аукциона оглашают свои ценовые предложения. </w:t>
      </w:r>
    </w:p>
    <w:p>
      <w:pPr>
        <w:pStyle w:val="Normal"/>
        <w:spacing w:lineRule="auto" w:line="240" w:before="0" w:after="0"/>
        <w:ind w:firstLine="708"/>
        <w:jc w:val="both"/>
        <w:rPr>
          <w:sz w:val="22"/>
          <w:szCs w:val="22"/>
        </w:rPr>
      </w:pPr>
      <w:bookmarkStart w:id="3" w:name="sub_1101_Копия_1"/>
      <w:bookmarkStart w:id="4" w:name="sub_1105"/>
      <w:bookmarkEnd w:id="3"/>
      <w:bookmarkEnd w:id="4"/>
      <w:r>
        <w:rPr>
          <w:rFonts w:cs="Times New Roman" w:ascii="Times New Roman" w:hAnsi="Times New Roman"/>
          <w:sz w:val="22"/>
          <w:szCs w:val="22"/>
        </w:rPr>
        <w:t>После объявления начала аукциона и оглашения начальной цены по лоту аукционист предлагает участникам аукциона заявлять свои предложения по цене, превышающей начальную цену. Каждая последующая цена, превышающая предыдущую цену на «шаг аукциона», заявляется участниками аукциона путем поднятия карточек.</w:t>
      </w:r>
    </w:p>
    <w:p>
      <w:pPr>
        <w:pStyle w:val="Normal"/>
        <w:spacing w:lineRule="auto" w:line="240" w:before="0" w:after="0"/>
        <w:ind w:firstLine="708"/>
        <w:jc w:val="both"/>
        <w:rPr>
          <w:sz w:val="22"/>
          <w:szCs w:val="22"/>
        </w:rPr>
      </w:pPr>
      <w:bookmarkStart w:id="5" w:name="sub_1105_Копия_1"/>
      <w:bookmarkStart w:id="6" w:name="sub_1106"/>
      <w:bookmarkEnd w:id="5"/>
      <w:bookmarkEnd w:id="6"/>
      <w:r>
        <w:rPr>
          <w:rFonts w:cs="Times New Roman" w:ascii="Times New Roman" w:hAnsi="Times New Roman"/>
          <w:sz w:val="22"/>
          <w:szCs w:val="22"/>
        </w:rPr>
        <w:t>Предложения на повышение цены могут вноситься участниками в произвольном порядке или по очереди.</w:t>
      </w:r>
    </w:p>
    <w:p>
      <w:pPr>
        <w:pStyle w:val="Normal"/>
        <w:spacing w:lineRule="auto" w:line="240" w:before="0" w:after="0"/>
        <w:ind w:firstLine="708"/>
        <w:jc w:val="both"/>
        <w:rPr>
          <w:sz w:val="22"/>
          <w:szCs w:val="22"/>
        </w:rPr>
      </w:pPr>
      <w:bookmarkStart w:id="7" w:name="sub_1109"/>
      <w:bookmarkStart w:id="8" w:name="sub_1106_Копия_1"/>
      <w:bookmarkEnd w:id="8"/>
      <w:r>
        <w:rPr>
          <w:rFonts w:cs="Times New Roman" w:ascii="Times New Roman" w:hAnsi="Times New Roman"/>
          <w:sz w:val="22"/>
          <w:szCs w:val="22"/>
        </w:rPr>
        <w:t>Победителем аукциона признается участник, предложивший самую высокую цену лота, на которой завершился аукцион.</w:t>
      </w:r>
      <w:bookmarkEnd w:id="7"/>
    </w:p>
    <w:p>
      <w:pPr>
        <w:pStyle w:val="Normal"/>
        <w:spacing w:lineRule="auto" w:line="240" w:before="0" w:after="0"/>
        <w:ind w:firstLine="708"/>
        <w:jc w:val="both"/>
        <w:rPr>
          <w:sz w:val="22"/>
          <w:szCs w:val="22"/>
        </w:rPr>
      </w:pPr>
      <w:r>
        <w:rPr>
          <w:rFonts w:cs="Times New Roman" w:ascii="Times New Roman" w:hAnsi="Times New Roman"/>
          <w:sz w:val="22"/>
          <w:szCs w:val="22"/>
        </w:rPr>
        <w:t>Результаты проведения аукциона оформляются протоколом, который подписывается всеми присутствующими членами Комиссии и победителями аукциона.</w:t>
      </w:r>
    </w:p>
    <w:p>
      <w:pPr>
        <w:pStyle w:val="Normal"/>
        <w:spacing w:lineRule="auto" w:line="240" w:before="0" w:after="0"/>
        <w:ind w:firstLine="708"/>
        <w:jc w:val="both"/>
        <w:rPr/>
      </w:pPr>
      <w:r>
        <w:rPr>
          <w:rFonts w:cs="Times New Roman" w:ascii="Times New Roman" w:hAnsi="Times New Roman"/>
          <w:sz w:val="22"/>
          <w:szCs w:val="22"/>
        </w:rPr>
        <w:t xml:space="preserve">Протокол аукциона размещается на </w:t>
      </w:r>
      <w:hyperlink r:id="rId3">
        <w:r>
          <w:rPr>
            <w:rStyle w:val="Style18"/>
            <w:rFonts w:cs="Times New Roman" w:ascii="Times New Roman" w:hAnsi="Times New Roman"/>
            <w:b w:val="false"/>
            <w:color w:val="auto"/>
            <w:sz w:val="22"/>
            <w:szCs w:val="22"/>
          </w:rPr>
          <w:t>официальном сайте</w:t>
        </w:r>
      </w:hyperlink>
      <w:r>
        <w:rPr>
          <w:rFonts w:cs="Times New Roman" w:ascii="Times New Roman" w:hAnsi="Times New Roman"/>
          <w:sz w:val="22"/>
          <w:szCs w:val="22"/>
        </w:rPr>
        <w:t xml:space="preserve"> администрации городского округа в течение дня, следующего после дня подписания вышеуказанного протокола.</w:t>
      </w:r>
    </w:p>
    <w:p>
      <w:pPr>
        <w:pStyle w:val="Normal"/>
        <w:spacing w:lineRule="auto" w:line="240" w:before="0" w:after="0"/>
        <w:ind w:firstLine="708"/>
        <w:jc w:val="both"/>
        <w:rPr>
          <w:sz w:val="22"/>
          <w:szCs w:val="22"/>
        </w:rPr>
      </w:pPr>
      <w:bookmarkStart w:id="9" w:name="sub_1111"/>
      <w:r>
        <w:rPr>
          <w:rFonts w:cs="Times New Roman" w:ascii="Times New Roman" w:hAnsi="Times New Roman"/>
          <w:sz w:val="22"/>
          <w:szCs w:val="22"/>
        </w:rPr>
        <w:t xml:space="preserve">8. Организатор не менее чем через десять дней со дня подписания протокола аукциона передает договор с включенными в него условиями о цене победителю аукциона. </w:t>
      </w:r>
      <w:bookmarkEnd w:id="9"/>
    </w:p>
    <w:p>
      <w:pPr>
        <w:pStyle w:val="Normal"/>
        <w:spacing w:lineRule="auto" w:line="240" w:before="0" w:after="0"/>
        <w:ind w:firstLine="708"/>
        <w:jc w:val="both"/>
        <w:rPr>
          <w:sz w:val="22"/>
          <w:szCs w:val="22"/>
        </w:rPr>
      </w:pPr>
      <w:r>
        <w:rPr>
          <w:rFonts w:cs="Times New Roman" w:ascii="Times New Roman" w:hAnsi="Times New Roman"/>
          <w:sz w:val="22"/>
          <w:szCs w:val="22"/>
        </w:rPr>
        <w:t>9. Срок действия договора не может превышать срок, входящий в период реализации сезонных товаров.</w:t>
      </w:r>
    </w:p>
    <w:p>
      <w:pPr>
        <w:pStyle w:val="Normal"/>
        <w:spacing w:lineRule="auto" w:line="240" w:before="0" w:after="0"/>
        <w:ind w:firstLine="720"/>
        <w:jc w:val="both"/>
        <w:rPr>
          <w:sz w:val="22"/>
          <w:szCs w:val="22"/>
        </w:rPr>
      </w:pPr>
      <w:r>
        <w:rPr>
          <w:rFonts w:cs="Times New Roman" w:ascii="Times New Roman" w:hAnsi="Times New Roman"/>
          <w:sz w:val="22"/>
          <w:szCs w:val="22"/>
        </w:rPr>
        <w:t xml:space="preserve">10. </w:t>
      </w:r>
      <w:r>
        <w:rPr>
          <w:rFonts w:eastAsia="Calibri" w:cs="Times New Roman" w:ascii="Times New Roman" w:hAnsi="Times New Roman"/>
          <w:sz w:val="22"/>
          <w:szCs w:val="22"/>
          <w:lang w:eastAsia="ru-RU"/>
        </w:rPr>
        <w:t>Если договор в течение тридцати календарных дней со дня направления победителю аукциона проекта указанного договора не был им подписан и представлен в УЭР, УЭР направляет указанный договор участнику аукциона, который сделал предпоследнее предложение о цене предмета аукциона, по цене, предложенной победителем аукциона.</w:t>
      </w:r>
    </w:p>
    <w:p>
      <w:pPr>
        <w:pStyle w:val="Normal"/>
        <w:spacing w:lineRule="auto" w:line="240" w:before="0" w:after="0"/>
        <w:ind w:firstLine="720"/>
        <w:jc w:val="both"/>
        <w:rPr>
          <w:sz w:val="22"/>
          <w:szCs w:val="22"/>
        </w:rPr>
      </w:pPr>
      <w:r>
        <w:rPr>
          <w:rFonts w:eastAsia="Calibri" w:cs="Times New Roman" w:ascii="Times New Roman" w:hAnsi="Times New Roman"/>
          <w:sz w:val="22"/>
          <w:szCs w:val="22"/>
          <w:lang w:eastAsia="ru-RU"/>
        </w:rPr>
        <w:t xml:space="preserve">11. В случае если в течение тридцати календарных дней со дня направления участнику аукциона, который сделал предпоследнее предложение о цене предмета аукциона, проекта договора, он не представил в УЭР, подписанный им договор, Управление вправе объявить о проведении повторного аукциона. </w:t>
      </w:r>
    </w:p>
    <w:p>
      <w:pPr>
        <w:pStyle w:val="Normal"/>
        <w:spacing w:lineRule="auto" w:line="240" w:before="0" w:after="0"/>
        <w:ind w:firstLine="720"/>
        <w:jc w:val="both"/>
        <w:rPr>
          <w:sz w:val="22"/>
          <w:szCs w:val="22"/>
        </w:rPr>
      </w:pPr>
      <w:r>
        <w:rPr>
          <w:rFonts w:eastAsia="Calibri" w:cs="Times New Roman" w:ascii="Times New Roman" w:hAnsi="Times New Roman"/>
          <w:sz w:val="22"/>
          <w:szCs w:val="22"/>
          <w:lang w:eastAsia="ru-RU"/>
        </w:rPr>
        <w:t>12. При уклонении или отказе победителя, единственного участника аукциона от заключения договора задаток на участие в аукционе таким участникам не возвращается, денежные средства, внесенные в качестве задатка на участие в аукционе, поступают в доход бюджета городского округа.</w:t>
      </w:r>
    </w:p>
    <w:p>
      <w:pPr>
        <w:pStyle w:val="Normal"/>
        <w:spacing w:lineRule="auto" w:line="240" w:before="0" w:after="0"/>
        <w:ind w:firstLine="720"/>
        <w:jc w:val="both"/>
        <w:rPr>
          <w:sz w:val="22"/>
          <w:szCs w:val="22"/>
        </w:rPr>
      </w:pPr>
      <w:bookmarkStart w:id="10" w:name="sub_1098"/>
      <w:r>
        <w:rPr>
          <w:rFonts w:eastAsia="Calibri" w:cs="Times New Roman" w:ascii="Times New Roman" w:hAnsi="Times New Roman"/>
          <w:sz w:val="22"/>
          <w:szCs w:val="22"/>
          <w:lang w:eastAsia="ru-RU"/>
        </w:rPr>
        <w:t>13. В случае если участник не явился на аукцион и при условии, что на основании результатов рассмотрения заявок на участие в аукционе Комиссией было принято решение о допуске к участию в аукционе претендента и о признании его участником аукциона, Организатор обязан вернуть такому участнику внесенные в качестве задатка на участие в аукционе денежные средства в течении пяти рабочих дней со дня подписания протокола о результатах проведения аукциона.</w:t>
      </w:r>
      <w:bookmarkEnd w:id="10"/>
    </w:p>
    <w:p>
      <w:pPr>
        <w:pStyle w:val="Normal"/>
        <w:spacing w:lineRule="auto" w:line="240" w:before="0" w:after="0"/>
        <w:ind w:firstLine="708"/>
        <w:jc w:val="both"/>
        <w:rPr>
          <w:sz w:val="22"/>
          <w:szCs w:val="22"/>
        </w:rPr>
      </w:pPr>
      <w:r>
        <w:rPr>
          <w:rFonts w:cs="Times New Roman" w:ascii="Times New Roman" w:hAnsi="Times New Roman"/>
          <w:sz w:val="22"/>
          <w:szCs w:val="22"/>
        </w:rPr>
        <w:t>14. Организатор вправе отказаться от проведения аукциона в любое время, но не позднее, чем за десять дней до наступления даты его проведения. Извещение об отказе от проведения аукциона подлежит официальному опубликованию организатором в течение трех рабочих дней со дня принятия решения об отказе от проведения аукциона. В течение трех рабочих дней со дня принятия организатором указанного решения организатором направляются уведомления всем претендентам, подавшим заявки на участие в аукционе.</w:t>
      </w:r>
    </w:p>
    <w:p>
      <w:pPr>
        <w:pStyle w:val="Normal"/>
        <w:spacing w:lineRule="auto" w:line="240" w:before="0" w:after="0"/>
        <w:ind w:firstLine="708"/>
        <w:jc w:val="both"/>
        <w:rPr>
          <w:sz w:val="22"/>
          <w:szCs w:val="22"/>
        </w:rPr>
      </w:pPr>
      <w:r>
        <w:rPr>
          <w:rFonts w:cs="Times New Roman" w:ascii="Times New Roman" w:hAnsi="Times New Roman"/>
          <w:sz w:val="22"/>
          <w:szCs w:val="22"/>
        </w:rPr>
        <w:t>15. Со дня официального опубликования извещения о проведение аукциона организатор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предоставляет копию аукционной документации.</w:t>
      </w:r>
    </w:p>
    <w:p>
      <w:pPr>
        <w:pStyle w:val="Normal"/>
        <w:spacing w:lineRule="auto" w:line="240" w:before="0" w:after="0"/>
        <w:ind w:firstLine="708"/>
        <w:jc w:val="both"/>
        <w:rPr>
          <w:sz w:val="22"/>
          <w:szCs w:val="22"/>
        </w:rPr>
      </w:pPr>
      <w:r>
        <w:rPr>
          <w:rFonts w:cs="Times New Roman" w:ascii="Times New Roman" w:hAnsi="Times New Roman"/>
          <w:sz w:val="22"/>
          <w:szCs w:val="22"/>
        </w:rPr>
        <w:t>Любой претендент вправе направить в письменной форме организатору запрос о разъяснении положений документации об аукционе. В течение двух рабочих дней со дня поступления указанного запроса организатор обязан направить в письменной форме разъяснения положений документации, если указанный запрос поступил организатору не позднее двух рабочих дней до дня окончания срока подачи заявок на участие в аукционе.</w:t>
      </w:r>
    </w:p>
    <w:p>
      <w:pPr>
        <w:pStyle w:val="Normal"/>
        <w:spacing w:lineRule="auto" w:line="240" w:before="0" w:after="0"/>
        <w:ind w:left="7788"/>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right"/>
        <w:rPr>
          <w:sz w:val="22"/>
          <w:szCs w:val="22"/>
        </w:rPr>
      </w:pPr>
      <w:r>
        <w:rPr>
          <w:rFonts w:cs="Times New Roman" w:ascii="Times New Roman" w:hAnsi="Times New Roman"/>
          <w:sz w:val="22"/>
          <w:szCs w:val="22"/>
        </w:rPr>
        <w:t>Приложение 1</w:t>
      </w:r>
    </w:p>
    <w:p>
      <w:pPr>
        <w:pStyle w:val="Normal"/>
        <w:spacing w:lineRule="auto" w:line="240" w:before="0" w:after="0"/>
        <w:jc w:val="right"/>
        <w:rPr>
          <w:sz w:val="22"/>
          <w:szCs w:val="22"/>
        </w:rPr>
      </w:pPr>
      <w:r>
        <w:rPr>
          <w:rFonts w:cs="Times New Roman" w:ascii="Times New Roman" w:hAnsi="Times New Roman"/>
          <w:sz w:val="22"/>
          <w:szCs w:val="22"/>
        </w:rPr>
        <w:t>к извещению</w:t>
      </w:r>
    </w:p>
    <w:p>
      <w:pPr>
        <w:pStyle w:val="Style22"/>
        <w:jc w:val="center"/>
        <w:rPr>
          <w:rFonts w:ascii="Times New Roman" w:hAnsi="Times New Roman" w:cs="Times New Roman"/>
          <w:sz w:val="22"/>
          <w:szCs w:val="22"/>
        </w:rPr>
      </w:pPr>
      <w:r>
        <w:rPr>
          <w:rFonts w:cs="Times New Roman" w:ascii="Times New Roman" w:hAnsi="Times New Roman"/>
          <w:sz w:val="22"/>
          <w:szCs w:val="22"/>
        </w:rPr>
      </w:r>
    </w:p>
    <w:p>
      <w:pPr>
        <w:pStyle w:val="Style22"/>
        <w:jc w:val="center"/>
        <w:rPr/>
      </w:pPr>
      <w:r>
        <w:rPr>
          <w:rStyle w:val="Style17"/>
          <w:rFonts w:cs="Times New Roman" w:ascii="Times New Roman" w:hAnsi="Times New Roman"/>
          <w:sz w:val="22"/>
          <w:szCs w:val="22"/>
        </w:rPr>
        <w:t>Заявка</w:t>
      </w:r>
    </w:p>
    <w:p>
      <w:pPr>
        <w:pStyle w:val="Style22"/>
        <w:jc w:val="center"/>
        <w:rPr/>
      </w:pPr>
      <w:r>
        <w:rPr>
          <w:rStyle w:val="Style17"/>
          <w:rFonts w:cs="Times New Roman" w:ascii="Times New Roman" w:hAnsi="Times New Roman"/>
          <w:sz w:val="22"/>
          <w:szCs w:val="22"/>
        </w:rPr>
        <w:t>на участие в открытом аукционе на право использования торгового места для</w:t>
      </w:r>
      <w:r>
        <w:rPr>
          <w:rFonts w:cs="Times New Roman" w:ascii="Times New Roman" w:hAnsi="Times New Roman"/>
          <w:sz w:val="22"/>
          <w:szCs w:val="22"/>
        </w:rPr>
        <w:t xml:space="preserve"> </w:t>
      </w:r>
      <w:r>
        <w:rPr>
          <w:rStyle w:val="Style17"/>
          <w:rFonts w:cs="Times New Roman" w:ascii="Times New Roman" w:hAnsi="Times New Roman"/>
          <w:sz w:val="22"/>
          <w:szCs w:val="22"/>
        </w:rPr>
        <w:t>размещения нестационарных объектов сезонной торговли</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Style22"/>
        <w:rPr>
          <w:sz w:val="22"/>
          <w:szCs w:val="22"/>
        </w:rPr>
      </w:pPr>
      <w:r>
        <w:rPr>
          <w:rFonts w:cs="Times New Roman" w:ascii="Times New Roman" w:hAnsi="Times New Roman"/>
          <w:sz w:val="22"/>
          <w:szCs w:val="22"/>
        </w:rPr>
        <w:t>Полное наименование предприятия (Ф.И.О. ИП, ЮЛ)</w:t>
      </w:r>
    </w:p>
    <w:p>
      <w:pPr>
        <w:pStyle w:val="Style22"/>
        <w:rPr>
          <w:sz w:val="22"/>
          <w:szCs w:val="22"/>
        </w:rPr>
      </w:pPr>
      <w:r>
        <w:rPr>
          <w:rFonts w:cs="Times New Roman" w:ascii="Times New Roman" w:hAnsi="Times New Roman"/>
          <w:sz w:val="22"/>
          <w:szCs w:val="22"/>
        </w:rPr>
        <w:t>_____________________________________________________________________________________</w:t>
      </w:r>
    </w:p>
    <w:p>
      <w:pPr>
        <w:pStyle w:val="Style22"/>
        <w:rPr>
          <w:sz w:val="22"/>
          <w:szCs w:val="22"/>
        </w:rPr>
      </w:pPr>
      <w:r>
        <w:rPr>
          <w:rFonts w:cs="Times New Roman" w:ascii="Times New Roman" w:hAnsi="Times New Roman"/>
          <w:sz w:val="22"/>
          <w:szCs w:val="22"/>
        </w:rPr>
        <w:t>_____________________________________________________________________________________</w:t>
      </w:r>
    </w:p>
    <w:p>
      <w:pPr>
        <w:pStyle w:val="Style22"/>
        <w:rPr>
          <w:sz w:val="22"/>
          <w:szCs w:val="22"/>
        </w:rPr>
      </w:pPr>
      <w:r>
        <w:rPr>
          <w:rFonts w:cs="Times New Roman" w:ascii="Times New Roman" w:hAnsi="Times New Roman"/>
          <w:sz w:val="22"/>
          <w:szCs w:val="22"/>
        </w:rPr>
        <w:t>ОГРН_______________________________________________________________________________</w:t>
      </w:r>
    </w:p>
    <w:p>
      <w:pPr>
        <w:pStyle w:val="Style22"/>
        <w:rPr>
          <w:sz w:val="22"/>
          <w:szCs w:val="22"/>
        </w:rPr>
      </w:pPr>
      <w:r>
        <w:rPr>
          <w:rFonts w:cs="Times New Roman" w:ascii="Times New Roman" w:hAnsi="Times New Roman"/>
          <w:sz w:val="22"/>
          <w:szCs w:val="22"/>
        </w:rPr>
        <w:t>информация о внесении в Единый государственный реестр</w:t>
      </w:r>
    </w:p>
    <w:p>
      <w:pPr>
        <w:pStyle w:val="Style22"/>
        <w:rPr>
          <w:sz w:val="22"/>
          <w:szCs w:val="22"/>
        </w:rPr>
      </w:pPr>
      <w:r>
        <w:rPr>
          <w:rFonts w:cs="Times New Roman" w:ascii="Times New Roman" w:hAnsi="Times New Roman"/>
          <w:sz w:val="22"/>
          <w:szCs w:val="22"/>
        </w:rPr>
        <w:t>_____________________________________________________________________________________</w:t>
      </w:r>
    </w:p>
    <w:p>
      <w:pPr>
        <w:pStyle w:val="Style22"/>
        <w:rPr>
          <w:sz w:val="22"/>
          <w:szCs w:val="22"/>
        </w:rPr>
      </w:pPr>
      <w:r>
        <w:rPr>
          <w:rFonts w:cs="Times New Roman" w:ascii="Times New Roman" w:hAnsi="Times New Roman"/>
          <w:sz w:val="22"/>
          <w:szCs w:val="22"/>
        </w:rPr>
        <w:t>ИНН ________________________________________________________________________________</w:t>
      </w:r>
    </w:p>
    <w:p>
      <w:pPr>
        <w:pStyle w:val="Style22"/>
        <w:rPr>
          <w:sz w:val="22"/>
          <w:szCs w:val="22"/>
        </w:rPr>
      </w:pPr>
      <w:r>
        <w:rPr>
          <w:rFonts w:cs="Times New Roman" w:ascii="Times New Roman" w:hAnsi="Times New Roman"/>
          <w:sz w:val="22"/>
          <w:szCs w:val="22"/>
        </w:rPr>
        <w:t>Выдано______________________________________________________________________________</w:t>
      </w:r>
    </w:p>
    <w:p>
      <w:pPr>
        <w:pStyle w:val="Style22"/>
        <w:rPr>
          <w:sz w:val="22"/>
          <w:szCs w:val="22"/>
        </w:rPr>
      </w:pPr>
      <w:r>
        <w:rPr>
          <w:rFonts w:cs="Times New Roman" w:ascii="Times New Roman" w:hAnsi="Times New Roman"/>
          <w:sz w:val="22"/>
          <w:szCs w:val="22"/>
        </w:rPr>
        <w:t>Юридический адрес, телефон (для ИП - место регистрации, проживания, паспортные данные, телефон) ____________________________________________________________________________</w:t>
      </w:r>
    </w:p>
    <w:p>
      <w:pPr>
        <w:pStyle w:val="Style22"/>
        <w:rPr>
          <w:sz w:val="22"/>
          <w:szCs w:val="22"/>
        </w:rPr>
      </w:pPr>
      <w:r>
        <w:rPr>
          <w:rFonts w:cs="Times New Roman" w:ascii="Times New Roman" w:hAnsi="Times New Roman"/>
          <w:sz w:val="22"/>
          <w:szCs w:val="22"/>
        </w:rPr>
        <w:t>_____________________________________________________________________________________</w:t>
      </w:r>
    </w:p>
    <w:p>
      <w:pPr>
        <w:pStyle w:val="Style22"/>
        <w:rPr>
          <w:sz w:val="22"/>
          <w:szCs w:val="22"/>
        </w:rPr>
      </w:pPr>
      <w:r>
        <w:rPr>
          <w:rFonts w:cs="Times New Roman" w:ascii="Times New Roman" w:hAnsi="Times New Roman"/>
          <w:sz w:val="22"/>
          <w:szCs w:val="22"/>
        </w:rPr>
        <w:t>Ф.И.О. руководителя__________________________________________________________________</w:t>
      </w:r>
    </w:p>
    <w:p>
      <w:pPr>
        <w:pStyle w:val="Normal"/>
        <w:rPr>
          <w:sz w:val="22"/>
          <w:szCs w:val="22"/>
        </w:rPr>
      </w:pPr>
      <w:r>
        <w:rPr>
          <w:rFonts w:eastAsia="" w:cs="Times New Roman" w:ascii="Times New Roman" w:hAnsi="Times New Roman" w:eastAsiaTheme="minorEastAsia"/>
          <w:sz w:val="22"/>
          <w:szCs w:val="22"/>
          <w:lang w:eastAsia="ru-RU"/>
        </w:rPr>
        <w:t>Банковские реквизиты расчетного (лицевого) счета Претендента для возврата задатка: __________________________________________________________________________________________________________________________________________________________________________</w:t>
      </w:r>
    </w:p>
    <w:p>
      <w:pPr>
        <w:pStyle w:val="Style22"/>
        <w:rPr>
          <w:sz w:val="22"/>
          <w:szCs w:val="22"/>
        </w:rPr>
      </w:pPr>
      <w:r>
        <w:rPr>
          <w:rFonts w:cs="Times New Roman" w:ascii="Times New Roman" w:hAnsi="Times New Roman"/>
          <w:sz w:val="22"/>
          <w:szCs w:val="22"/>
        </w:rPr>
        <w:t>Наименование объекта:________________________________________________________________</w:t>
      </w:r>
    </w:p>
    <w:p>
      <w:pPr>
        <w:pStyle w:val="Style22"/>
        <w:rPr>
          <w:sz w:val="22"/>
          <w:szCs w:val="22"/>
        </w:rPr>
      </w:pPr>
      <w:r>
        <w:rPr>
          <w:rFonts w:cs="Times New Roman" w:ascii="Times New Roman" w:hAnsi="Times New Roman"/>
          <w:sz w:val="22"/>
          <w:szCs w:val="22"/>
        </w:rPr>
        <w:t>Адрес размещения объекта (площадь объекта):</w:t>
      </w:r>
    </w:p>
    <w:p>
      <w:pPr>
        <w:pStyle w:val="Style22"/>
        <w:rPr>
          <w:sz w:val="22"/>
          <w:szCs w:val="22"/>
        </w:rPr>
      </w:pPr>
      <w:r>
        <w:rPr>
          <w:rFonts w:cs="Times New Roman" w:ascii="Times New Roman" w:hAnsi="Times New Roman"/>
          <w:sz w:val="22"/>
          <w:szCs w:val="22"/>
        </w:rPr>
        <w:t>_____________________________________________________________________________________</w:t>
      </w:r>
    </w:p>
    <w:p>
      <w:pPr>
        <w:pStyle w:val="Style22"/>
        <w:rPr>
          <w:sz w:val="22"/>
          <w:szCs w:val="22"/>
        </w:rPr>
      </w:pPr>
      <w:r>
        <w:rPr>
          <w:rFonts w:cs="Times New Roman" w:ascii="Times New Roman" w:hAnsi="Times New Roman"/>
          <w:sz w:val="22"/>
          <w:szCs w:val="22"/>
        </w:rPr>
        <w:t>Ассортиментный перечень товаров (перечень услуг):_______________________________________</w:t>
      </w:r>
    </w:p>
    <w:p>
      <w:pPr>
        <w:pStyle w:val="Style22"/>
        <w:rPr>
          <w:sz w:val="22"/>
          <w:szCs w:val="22"/>
        </w:rPr>
      </w:pPr>
      <w:r>
        <w:rPr>
          <w:rFonts w:cs="Times New Roman" w:ascii="Times New Roman" w:hAnsi="Times New Roman"/>
          <w:sz w:val="22"/>
          <w:szCs w:val="22"/>
        </w:rPr>
        <w:t>_____________________________________________________________________________________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r>
    </w:p>
    <w:p>
      <w:pPr>
        <w:pStyle w:val="Style22"/>
        <w:rPr>
          <w:sz w:val="22"/>
          <w:szCs w:val="22"/>
        </w:rPr>
      </w:pPr>
      <w:r>
        <w:rPr>
          <w:rFonts w:cs="Times New Roman" w:ascii="Times New Roman" w:hAnsi="Times New Roman"/>
          <w:sz w:val="22"/>
          <w:szCs w:val="22"/>
        </w:rPr>
        <w:t>С условиями аукциона и порядком его проведения ознакомлен.</w:t>
      </w:r>
    </w:p>
    <w:p>
      <w:pPr>
        <w:pStyle w:val="Style22"/>
        <w:rPr>
          <w:rFonts w:ascii="Times New Roman" w:hAnsi="Times New Roman" w:cs="Times New Roman"/>
          <w:sz w:val="22"/>
          <w:szCs w:val="22"/>
        </w:rPr>
      </w:pPr>
      <w:r>
        <w:rPr>
          <w:rFonts w:cs="Times New Roman" w:ascii="Times New Roman" w:hAnsi="Times New Roman"/>
          <w:sz w:val="22"/>
          <w:szCs w:val="22"/>
        </w:rPr>
      </w:r>
    </w:p>
    <w:p>
      <w:pPr>
        <w:pStyle w:val="Style22"/>
        <w:rPr>
          <w:rFonts w:ascii="Times New Roman" w:hAnsi="Times New Roman" w:cs="Times New Roman"/>
          <w:sz w:val="22"/>
          <w:szCs w:val="22"/>
        </w:rPr>
      </w:pPr>
      <w:r>
        <w:rPr>
          <w:rFonts w:cs="Times New Roman" w:ascii="Times New Roman" w:hAnsi="Times New Roman"/>
          <w:sz w:val="22"/>
          <w:szCs w:val="22"/>
        </w:rPr>
      </w:r>
    </w:p>
    <w:p>
      <w:pPr>
        <w:pStyle w:val="Style22"/>
        <w:rPr>
          <w:sz w:val="22"/>
          <w:szCs w:val="22"/>
        </w:rPr>
      </w:pPr>
      <w:r>
        <w:rPr>
          <w:rFonts w:cs="Times New Roman" w:ascii="Times New Roman" w:hAnsi="Times New Roman"/>
          <w:sz w:val="22"/>
          <w:szCs w:val="22"/>
        </w:rPr>
        <w:t>дата подачи заявки                                                          __________________________</w:t>
      </w:r>
    </w:p>
    <w:p>
      <w:pPr>
        <w:pStyle w:val="Style22"/>
        <w:ind w:firstLine="708" w:left="4956"/>
        <w:rPr>
          <w:sz w:val="22"/>
          <w:szCs w:val="22"/>
        </w:rPr>
      </w:pPr>
      <w:r>
        <w:rPr>
          <w:rFonts w:cs="Times New Roman" w:ascii="Times New Roman" w:hAnsi="Times New Roman"/>
          <w:sz w:val="22"/>
          <w:szCs w:val="22"/>
        </w:rPr>
        <w:t>(подпись), МП</w:t>
      </w:r>
    </w:p>
    <w:p>
      <w:pPr>
        <w:pStyle w:val="Normal"/>
        <w:ind w:firstLine="708"/>
        <w:jc w:val="both"/>
        <w:rPr>
          <w:rFonts w:ascii="Times New Roman" w:hAnsi="Times New Roman" w:eastAsia="" w:cs="Times New Roman" w:eastAsiaTheme="minorEastAsia"/>
          <w:sz w:val="22"/>
          <w:szCs w:val="22"/>
          <w:lang w:eastAsia="ru-RU"/>
        </w:rPr>
      </w:pPr>
      <w:r>
        <w:rPr>
          <w:rFonts w:eastAsia="" w:cs="Times New Roman" w:eastAsiaTheme="minorEastAsia" w:ascii="Times New Roman" w:hAnsi="Times New Roman"/>
          <w:sz w:val="22"/>
          <w:szCs w:val="22"/>
          <w:lang w:eastAsia="ru-RU"/>
        </w:rPr>
      </w:r>
    </w:p>
    <w:p>
      <w:pPr>
        <w:pStyle w:val="Normal"/>
        <w:spacing w:lineRule="auto" w:line="240"/>
        <w:jc w:val="both"/>
        <w:rPr>
          <w:sz w:val="22"/>
          <w:szCs w:val="22"/>
        </w:rPr>
      </w:pPr>
      <w:r>
        <w:rPr>
          <w:rFonts w:eastAsia="" w:cs="Times New Roman" w:ascii="Times New Roman" w:hAnsi="Times New Roman" w:eastAsiaTheme="minorEastAsia"/>
          <w:sz w:val="22"/>
          <w:szCs w:val="22"/>
          <w:lang w:eastAsia="ru-RU"/>
        </w:rPr>
        <w:t>Подтверждаю, что в отношении __________________________________ не ведется процедур банкротства или ликвидации, а также процедуры административного приостановления деятельности.</w:t>
      </w:r>
    </w:p>
    <w:p>
      <w:pPr>
        <w:pStyle w:val="Style22"/>
        <w:rPr>
          <w:sz w:val="22"/>
          <w:szCs w:val="22"/>
        </w:rPr>
      </w:pPr>
      <w:r>
        <w:rPr>
          <w:rFonts w:cs="Times New Roman" w:ascii="Times New Roman" w:hAnsi="Times New Roman"/>
          <w:sz w:val="22"/>
          <w:szCs w:val="22"/>
        </w:rPr>
        <w:tab/>
        <w:tab/>
        <w:tab/>
        <w:tab/>
        <w:tab/>
        <w:tab/>
        <w:tab/>
        <w:t xml:space="preserve">    </w:t>
        <w:tab/>
        <w:t>__________________________</w:t>
      </w:r>
    </w:p>
    <w:p>
      <w:pPr>
        <w:pStyle w:val="Style22"/>
        <w:ind w:left="6372"/>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(подпись), МП</w:t>
      </w:r>
    </w:p>
    <w:p>
      <w:pPr>
        <w:pStyle w:val="Style22"/>
        <w:jc w:val="center"/>
        <w:rPr>
          <w:rFonts w:ascii="Times New Roman" w:hAnsi="Times New Roman" w:cs="Times New Roman"/>
          <w:sz w:val="20"/>
          <w:szCs w:val="20"/>
        </w:rPr>
      </w:pPr>
      <w:r>
        <w:rPr>
          <w:rFonts w:cs="Times New Roman" w:ascii="Times New Roman" w:hAnsi="Times New Roman"/>
          <w:sz w:val="20"/>
          <w:szCs w:val="20"/>
        </w:rPr>
      </w:r>
    </w:p>
    <w:p>
      <w:pPr>
        <w:pStyle w:val="Style22"/>
        <w:jc w:val="center"/>
        <w:rPr>
          <w:sz w:val="20"/>
          <w:szCs w:val="20"/>
        </w:rPr>
      </w:pPr>
      <w:r>
        <w:rPr>
          <w:rFonts w:cs="Times New Roman" w:ascii="Times New Roman" w:hAnsi="Times New Roman"/>
          <w:sz w:val="20"/>
          <w:szCs w:val="20"/>
        </w:rPr>
        <w:t>Приложение:</w:t>
      </w:r>
    </w:p>
    <w:p>
      <w:pPr>
        <w:pStyle w:val="Style22"/>
        <w:ind w:firstLine="709"/>
        <w:jc w:val="both"/>
        <w:rPr>
          <w:sz w:val="20"/>
          <w:szCs w:val="20"/>
        </w:rPr>
      </w:pPr>
      <w:r>
        <w:rPr>
          <w:rFonts w:cs="Times New Roman" w:ascii="Times New Roman" w:hAnsi="Times New Roman"/>
          <w:sz w:val="20"/>
          <w:szCs w:val="20"/>
        </w:rPr>
        <w:t>1) выписка из Единого государственного реестра юридических лиц, полученная не ранее чем за один месяц до дня подачи заявки, либо ее копия (для юридических лиц);</w:t>
      </w:r>
    </w:p>
    <w:p>
      <w:pPr>
        <w:pStyle w:val="Style22"/>
        <w:ind w:firstLine="709"/>
        <w:jc w:val="both"/>
        <w:rPr>
          <w:sz w:val="20"/>
          <w:szCs w:val="20"/>
        </w:rPr>
      </w:pPr>
      <w:r>
        <w:rPr>
          <w:rFonts w:cs="Times New Roman" w:ascii="Times New Roman" w:hAnsi="Times New Roman"/>
          <w:sz w:val="20"/>
          <w:szCs w:val="20"/>
        </w:rPr>
        <w:t>2) копия паспорта, заверенная индивидуальным предпринимателем (для индивидуальных предпринимателей);</w:t>
      </w:r>
    </w:p>
    <w:p>
      <w:pPr>
        <w:pStyle w:val="Style22"/>
        <w:ind w:firstLine="709"/>
        <w:jc w:val="both"/>
        <w:rPr>
          <w:sz w:val="20"/>
          <w:szCs w:val="20"/>
        </w:rPr>
      </w:pPr>
      <w:r>
        <w:rPr>
          <w:rFonts w:cs="Times New Roman" w:ascii="Times New Roman" w:hAnsi="Times New Roman"/>
          <w:sz w:val="20"/>
          <w:szCs w:val="20"/>
        </w:rPr>
        <w:t>3) выписка из Единого государственного реестра индивидуальных предпринимателей, полученная не ранее чем за один месяц до дня подачи заявки, либо ее копия (для индивидуальных предпринимателей);</w:t>
      </w:r>
    </w:p>
    <w:p>
      <w:pPr>
        <w:pStyle w:val="Normal"/>
        <w:spacing w:lineRule="auto" w:line="240" w:before="0" w:after="0"/>
        <w:ind w:firstLine="709"/>
        <w:jc w:val="both"/>
        <w:rPr>
          <w:sz w:val="20"/>
          <w:szCs w:val="20"/>
        </w:rPr>
      </w:pPr>
      <w:r>
        <w:rPr>
          <w:rFonts w:cs="Times New Roman" w:ascii="Times New Roman" w:hAnsi="Times New Roman"/>
          <w:sz w:val="20"/>
          <w:szCs w:val="20"/>
        </w:rPr>
        <w:t xml:space="preserve">4) </w:t>
      </w:r>
      <w:r>
        <w:rPr>
          <w:rFonts w:eastAsia="Calibri" w:cs="Times New Roman" w:ascii="Times New Roman" w:hAnsi="Times New Roman"/>
          <w:sz w:val="20"/>
          <w:szCs w:val="20"/>
          <w:lang w:eastAsia="ru-RU"/>
        </w:rPr>
        <w:t>сведения об отсутствии задолженности по арендным платежам в бюджет муниципального образования «Копейский городской округ</w:t>
      </w:r>
      <w:r>
        <w:rPr>
          <w:rFonts w:eastAsia="Times New Roman" w:cs="Times New Roman" w:ascii="Times New Roman" w:hAnsi="Times New Roman"/>
          <w:sz w:val="20"/>
          <w:szCs w:val="20"/>
          <w:lang w:eastAsia="ru-RU"/>
        </w:rPr>
        <w:t>» по состоянию на первое число месяца, предыдущего месяцу, в котором подано заявление на заключение договора.</w:t>
      </w:r>
    </w:p>
    <w:p>
      <w:pPr>
        <w:pStyle w:val="Style22"/>
        <w:ind w:firstLine="709"/>
        <w:jc w:val="both"/>
        <w:rPr>
          <w:sz w:val="20"/>
          <w:szCs w:val="20"/>
        </w:rPr>
      </w:pPr>
      <w:r>
        <w:rPr>
          <w:rFonts w:eastAsia="Times New Roman" w:cs="Times New Roman" w:ascii="Times New Roman" w:hAnsi="Times New Roman"/>
          <w:sz w:val="20"/>
          <w:szCs w:val="20"/>
        </w:rPr>
        <w:t>В случае наличия задолженности по арендным платежам в бюджет муниципального образования «Копейский городской округ» заявитель вправе предоставить документ, подтверждающий сумму задолженности, с приложенными документами, подтверждающими оплату этой задолженности</w:t>
      </w:r>
      <w:r>
        <w:rPr>
          <w:rFonts w:cs="Times New Roman" w:ascii="Times New Roman" w:hAnsi="Times New Roman"/>
          <w:sz w:val="20"/>
          <w:szCs w:val="20"/>
        </w:rPr>
        <w:t>;</w:t>
      </w:r>
    </w:p>
    <w:p>
      <w:pPr>
        <w:pStyle w:val="Style22"/>
        <w:ind w:firstLine="709"/>
        <w:jc w:val="both"/>
        <w:rPr>
          <w:sz w:val="20"/>
          <w:szCs w:val="20"/>
        </w:rPr>
      </w:pPr>
      <w:r>
        <w:rPr>
          <w:rFonts w:cs="Times New Roman" w:ascii="Times New Roman" w:hAnsi="Times New Roman"/>
          <w:sz w:val="20"/>
          <w:szCs w:val="20"/>
        </w:rPr>
        <w:t>5) документ, подтверждающий полномочия лица на осуществление действий от имени претендента;</w:t>
      </w:r>
    </w:p>
    <w:p>
      <w:pPr>
        <w:pStyle w:val="Normal"/>
        <w:spacing w:before="0" w:after="200"/>
        <w:ind w:firstLine="709"/>
        <w:rPr>
          <w:sz w:val="20"/>
          <w:szCs w:val="20"/>
        </w:rPr>
      </w:pPr>
      <w:r>
        <w:rPr>
          <w:rFonts w:cs="Times New Roman" w:ascii="Times New Roman" w:hAnsi="Times New Roman"/>
          <w:sz w:val="20"/>
          <w:szCs w:val="20"/>
          <w:lang w:eastAsia="ru-RU"/>
        </w:rPr>
        <w:t>6) банковские реквизиты расчетного счета.</w:t>
      </w:r>
    </w:p>
    <w:sectPr>
      <w:headerReference w:type="default" r:id="rId4"/>
      <w:type w:val="nextPage"/>
      <w:pgSz w:w="11906" w:h="16838"/>
      <w:pgMar w:left="1701" w:right="850" w:gutter="0" w:header="709" w:top="766" w:footer="0" w:bottom="1134"/>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Calibri">
    <w:charset w:val="01"/>
    <w:family w:val="roman"/>
    <w:pitch w:val="variable"/>
  </w:font>
  <w:font w:name="Tahoma">
    <w:charset w:val="01"/>
    <w:family w:val="roman"/>
    <w:pitch w:val="variable"/>
  </w:font>
  <w:font w:name="Open Sans">
    <w:charset w:val="01"/>
    <w:family w:val="roman"/>
    <w:pitch w:val="variable"/>
  </w:font>
  <w:font w:name="Courier New">
    <w:charset w:val="01"/>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176264358"/>
    </w:sdtPr>
    <w:sdtContent>
      <w:p>
        <w:pPr>
          <w:pStyle w:val="Header"/>
          <w:jc w:val="center"/>
          <w:rPr/>
        </w:pP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5</w:t>
        </w:r>
        <w:r>
          <w:rPr>
            <w:rFonts w:cs="Times New Roman" w:ascii="Times New Roman" w:hAnsi="Times New Roman"/>
          </w:rPr>
          <w:fldChar w:fldCharType="end"/>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800" w:hanging="108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3">
    <w:lvl w:ilvl="0">
      <w:start w:val="1"/>
      <w:numFmt w:val="decimal"/>
      <w:lvlText w:val="%1)"/>
      <w:lvlJc w:val="left"/>
      <w:pPr>
        <w:tabs>
          <w:tab w:val="num" w:pos="0"/>
        </w:tabs>
        <w:ind w:left="1800" w:hanging="108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num w:numId="1">
    <w:abstractNumId w:val="1"/>
  </w:num>
  <w:num w:numId="2">
    <w:abstractNumId w:val="2"/>
  </w:num>
  <w:num w:numId="3">
    <w:abstractNumId w:val="3"/>
  </w:num>
  <w:num w:numId="4">
    <w:abstractNumId w:val="2"/>
    <w:lvlOverride w:ilvl="0">
      <w:startOverride w:val="1"/>
    </w:lvlOverride>
  </w:num>
  <w:num w:numId="5">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925f32"/>
    <w:rPr>
      <w:rFonts w:ascii="Tahoma" w:hAnsi="Tahoma" w:cs="Tahoma"/>
      <w:sz w:val="16"/>
      <w:szCs w:val="16"/>
    </w:rPr>
  </w:style>
  <w:style w:type="character" w:styleId="Style15" w:customStyle="1">
    <w:name w:val="Верхний колонтитул Знак"/>
    <w:basedOn w:val="DefaultParagraphFont"/>
    <w:uiPriority w:val="99"/>
    <w:qFormat/>
    <w:rsid w:val="006a4d8f"/>
    <w:rPr/>
  </w:style>
  <w:style w:type="character" w:styleId="Style16" w:customStyle="1">
    <w:name w:val="Нижний колонтитул Знак"/>
    <w:basedOn w:val="DefaultParagraphFont"/>
    <w:uiPriority w:val="99"/>
    <w:qFormat/>
    <w:rsid w:val="006a4d8f"/>
    <w:rPr/>
  </w:style>
  <w:style w:type="character" w:styleId="Hyperlink">
    <w:name w:val="Hyperlink"/>
    <w:basedOn w:val="DefaultParagraphFont"/>
    <w:uiPriority w:val="99"/>
    <w:unhideWhenUsed/>
    <w:rsid w:val="009c7183"/>
    <w:rPr>
      <w:color w:themeColor="hyperlink" w:val="0000FF"/>
      <w:u w:val="single"/>
    </w:rPr>
  </w:style>
  <w:style w:type="character" w:styleId="Style17" w:customStyle="1">
    <w:name w:val="Цветовое выделение"/>
    <w:uiPriority w:val="99"/>
    <w:qFormat/>
    <w:rsid w:val="009c7183"/>
    <w:rPr>
      <w:b/>
      <w:bCs/>
      <w:color w:val="26282F"/>
    </w:rPr>
  </w:style>
  <w:style w:type="character" w:styleId="Style18" w:customStyle="1">
    <w:name w:val="Гипертекстовая ссылка"/>
    <w:basedOn w:val="Style17"/>
    <w:uiPriority w:val="99"/>
    <w:qFormat/>
    <w:rsid w:val="00c4778b"/>
    <w:rPr>
      <w:b/>
      <w:bCs/>
      <w:color w:val="106BBE"/>
    </w:rPr>
  </w:style>
  <w:style w:type="paragraph" w:styleId="Style19">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ListParagraph">
    <w:name w:val="List Paragraph"/>
    <w:basedOn w:val="Normal"/>
    <w:uiPriority w:val="34"/>
    <w:qFormat/>
    <w:rsid w:val="006c6651"/>
    <w:pPr>
      <w:spacing w:before="0" w:after="200"/>
      <w:ind w:left="720"/>
      <w:contextualSpacing/>
    </w:pPr>
    <w:rPr/>
  </w:style>
  <w:style w:type="paragraph" w:styleId="ConsPlusNonformat" w:customStyle="1">
    <w:name w:val="ConsPlusNonformat"/>
    <w:qFormat/>
    <w:rsid w:val="00563204"/>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BalloonText">
    <w:name w:val="Balloon Text"/>
    <w:basedOn w:val="Normal"/>
    <w:link w:val="Style14"/>
    <w:uiPriority w:val="99"/>
    <w:semiHidden/>
    <w:unhideWhenUsed/>
    <w:qFormat/>
    <w:rsid w:val="00925f32"/>
    <w:pPr>
      <w:spacing w:lineRule="auto" w:line="240" w:before="0" w:after="0"/>
    </w:pPr>
    <w:rPr>
      <w:rFonts w:ascii="Tahoma" w:hAnsi="Tahoma" w:cs="Tahoma"/>
      <w:sz w:val="16"/>
      <w:szCs w:val="16"/>
    </w:rPr>
  </w:style>
  <w:style w:type="paragraph" w:styleId="Style21">
    <w:name w:val="Колонтитул"/>
    <w:basedOn w:val="Normal"/>
    <w:qFormat/>
    <w:pPr/>
    <w:rPr/>
  </w:style>
  <w:style w:type="paragraph" w:styleId="Header">
    <w:name w:val="Header"/>
    <w:basedOn w:val="Normal"/>
    <w:link w:val="Style15"/>
    <w:uiPriority w:val="99"/>
    <w:unhideWhenUsed/>
    <w:rsid w:val="006a4d8f"/>
    <w:pPr>
      <w:tabs>
        <w:tab w:val="clear" w:pos="708"/>
        <w:tab w:val="center" w:pos="4677" w:leader="none"/>
        <w:tab w:val="right" w:pos="9355" w:leader="none"/>
      </w:tabs>
      <w:spacing w:lineRule="auto" w:line="240" w:before="0" w:after="0"/>
    </w:pPr>
    <w:rPr/>
  </w:style>
  <w:style w:type="paragraph" w:styleId="Footer">
    <w:name w:val="Footer"/>
    <w:basedOn w:val="Normal"/>
    <w:link w:val="Style16"/>
    <w:uiPriority w:val="99"/>
    <w:unhideWhenUsed/>
    <w:rsid w:val="006a4d8f"/>
    <w:pPr>
      <w:tabs>
        <w:tab w:val="clear" w:pos="708"/>
        <w:tab w:val="center" w:pos="4677" w:leader="none"/>
        <w:tab w:val="right" w:pos="9355" w:leader="none"/>
      </w:tabs>
      <w:spacing w:lineRule="auto" w:line="240" w:before="0" w:after="0"/>
    </w:pPr>
    <w:rPr/>
  </w:style>
  <w:style w:type="paragraph" w:styleId="Style22" w:customStyle="1">
    <w:name w:val="Таблицы (моноширинный)"/>
    <w:basedOn w:val="Normal"/>
    <w:next w:val="Normal"/>
    <w:uiPriority w:val="99"/>
    <w:qFormat/>
    <w:rsid w:val="009c7183"/>
    <w:pPr>
      <w:widowControl w:val="false"/>
      <w:spacing w:lineRule="auto" w:line="240" w:before="0" w:after="0"/>
    </w:pPr>
    <w:rPr>
      <w:rFonts w:ascii="Courier New" w:hAnsi="Courier New" w:eastAsia="" w:cs="Courier New" w:eastAsiaTheme="minorEastAsia"/>
      <w:sz w:val="24"/>
      <w:szCs w:val="24"/>
      <w:lang w:eastAsia="ru-RU"/>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e">
    <w:name w:val="Table Grid"/>
    <w:basedOn w:val="a1"/>
    <w:uiPriority w:val="59"/>
    <w:rsid w:val="00271d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org@akgo74.ru" TargetMode="External"/><Relationship Id="rId3" Type="http://schemas.openxmlformats.org/officeDocument/2006/relationships/hyperlink" Target="http://mobileonline.garant.ru/document/redirect/8766723/27" TargetMode="External"/><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03446-0A42-467B-8764-EE77FD6F4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Application>LibreOffice/7.6.0.3$Linux_X86_64 LibreOffice_project/60$Build-3</Application>
  <AppVersion>15.0000</AppVersion>
  <Pages>5</Pages>
  <Words>1830</Words>
  <Characters>13189</Characters>
  <CharactersWithSpaces>14897</CharactersWithSpaces>
  <Paragraphs>208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2019-11-01T04:38:00Z</dcterms:created>
  <dc:creator>Ренхе Ирина Анатольевна</dc:creator>
  <dc:description/>
  <dc:language>ru-RU</dc:language>
  <cp:lastModifiedBy/>
  <cp:lastPrinted>2026-03-03T11:33:26Z</cp:lastPrinted>
  <dcterms:modified xsi:type="dcterms:W3CDTF">2026-03-03T11:35:39Z</dcterms:modified>
  <cp:revision>62</cp:revision>
  <dc:subject/>
  <dc:title/>
</cp:coreProperties>
</file>

<file path=docProps/custom.xml><?xml version="1.0" encoding="utf-8"?>
<Properties xmlns="http://schemas.openxmlformats.org/officeDocument/2006/custom-properties" xmlns:vt="http://schemas.openxmlformats.org/officeDocument/2006/docPropsVTypes"/>
</file>