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Извещение о проведение аукциона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на предоставление права использования торгового места для размещения нестационарных объектов сезонной торговли на период с 01.05.2026 по 31.10.2026 на территории Копейского городского округа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xml:space="preserve">Администрация Копейского городского округа в лице управления экономического развития администрации Копейского городского округа (далее – Организатор) извещает о проведение аукциона </w:t>
      </w:r>
      <w:r>
        <w:rPr>
          <w:rFonts w:cs="Times New Roman" w:ascii="Times New Roman" w:hAnsi="Times New Roman"/>
          <w:b/>
          <w:sz w:val="24"/>
          <w:szCs w:val="24"/>
        </w:rPr>
        <w:t>на предоставление права использования торгового места для размещения нестационарных объектов сезонной торговли на период с 01.05.2026 по 31.10.2026 на территории Копейского городского округа</w:t>
      </w:r>
      <w:r>
        <w:rPr>
          <w:rFonts w:cs="Times New Roman" w:ascii="Times New Roman" w:hAnsi="Times New Roman"/>
          <w:sz w:val="24"/>
          <w:szCs w:val="24"/>
        </w:rPr>
        <w:t xml:space="preserve"> (далее – Аукцион). </w:t>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xml:space="preserve">1. Местонахождение (адрес Организатора): 456618, Челябинская область,                           г. Копейск, ул. Ленина, дом 52; каб. 106, 114, контактные телефоны: 8(35139) 40-136, 8(35139) 40-150, e-mail: </w:t>
      </w:r>
      <w:r>
        <w:rPr>
          <w:rFonts w:cs="Times New Roman" w:ascii="Times New Roman" w:hAnsi="Times New Roman"/>
          <w:sz w:val="24"/>
          <w:szCs w:val="24"/>
          <w:lang w:val="en-US"/>
        </w:rPr>
        <w:t>torg</w:t>
      </w:r>
      <w:r>
        <w:rPr>
          <w:rFonts w:cs="Times New Roman" w:ascii="Times New Roman" w:hAnsi="Times New Roman"/>
          <w:sz w:val="24"/>
          <w:szCs w:val="24"/>
        </w:rPr>
        <w:t>@</w:t>
      </w:r>
      <w:r>
        <w:rPr>
          <w:rFonts w:cs="Times New Roman" w:ascii="Times New Roman" w:hAnsi="Times New Roman"/>
          <w:sz w:val="24"/>
          <w:szCs w:val="24"/>
          <w:lang w:val="en-US"/>
        </w:rPr>
        <w:t>akgo</w:t>
      </w:r>
      <w:r>
        <w:rPr>
          <w:rFonts w:cs="Times New Roman" w:ascii="Times New Roman" w:hAnsi="Times New Roman"/>
          <w:sz w:val="24"/>
          <w:szCs w:val="24"/>
        </w:rPr>
        <w:t>74.</w:t>
      </w:r>
      <w:r>
        <w:rPr>
          <w:rFonts w:cs="Times New Roman" w:ascii="Times New Roman" w:hAnsi="Times New Roman"/>
          <w:sz w:val="24"/>
          <w:szCs w:val="24"/>
          <w:lang w:val="en-US"/>
        </w:rPr>
        <w:t>ru</w:t>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2. Субъекты торговли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3. Предмет аукциона: предоставление права использования торгового места для размещения нестационарных объектов сезонной торговли на период с 01.05.2026 по 31.10.2026.</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Перечень торговых мест для размещения нестационарных объектов сезонной торговли.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9645"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022"/>
        <w:gridCol w:w="4932"/>
        <w:gridCol w:w="1844"/>
        <w:gridCol w:w="1846"/>
      </w:tblGrid>
      <w:tr>
        <w:trPr>
          <w:trHeight w:val="44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п/п (лот)</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Адресный ориентир торгового места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Предельная площадь торгового места, м2</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Количество торговых мест</w:t>
            </w:r>
          </w:p>
        </w:tc>
      </w:tr>
      <w:tr>
        <w:trPr>
          <w:trHeight w:val="443" w:hRule="atLeast"/>
        </w:trPr>
        <w:tc>
          <w:tcPr>
            <w:tcW w:w="964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Раздел 1. Торговые места для размещения нестационарных торговых объектов сезонной торговли для реализации плодоовощной продукции, бахчевых культур, цветов, рассады и посадочного материала</w:t>
            </w:r>
          </w:p>
        </w:tc>
      </w:tr>
      <w:tr>
        <w:trPr>
          <w:trHeight w:val="118"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Лихачева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Гастелло, 25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Калинина,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Калинина, 13 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Сутягина, 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Чернышевского, 15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Горняк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переулок Тореза, 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Потанино</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21 Партсъезда, 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Луначарского, 33/ул. Бажова 12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Коммунистическая, 29</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Старокамышинск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bl>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xml:space="preserve">3. Порядок и место подачи заявок на участие в аукционе. </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Субъект торговли (далее претендент), подает заявку в письменной форме (приложение 1 к извещению). Любой претендент вправе подать заявку на одно или на несколько мест организованной торговли. </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К заявке прилагаются копии следующих документов:</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2) копия паспорта, заверенная индивидуальным предпринимателем (для индивидуальных предпринимателей);</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4) сведения об отсутствии задолженности по арендным платежам в бюджет муниципального образования «Копейский городской округ» по состоянию на первое число месяца, предыдущего месяцу, в котором подана заявка на участие в аукционе. </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5) документ, подтверждающий полномочия лица на осуществление действий от имени претендента;</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6) банковские реквизиты расчетного счета.</w:t>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xml:space="preserve">4. Заявки на участие в аукционе подаются: кабинет 106 управления экономического развития администрации Копейского городского округа по адресу: 456618, Челябинская область, г. Копейск, ул. Ленина, 52, а также через электронную почту – </w:t>
      </w:r>
      <w:hyperlink r:id="rId2">
        <w:r>
          <w:rPr>
            <w:rStyle w:val="Hyperlink"/>
            <w:rFonts w:cs="Times New Roman" w:ascii="Times New Roman" w:hAnsi="Times New Roman"/>
            <w:sz w:val="24"/>
            <w:szCs w:val="24"/>
            <w:lang w:val="en-US"/>
          </w:rPr>
          <w:t>torg</w:t>
        </w:r>
        <w:r>
          <w:rPr>
            <w:rStyle w:val="Hyperlink"/>
            <w:rFonts w:cs="Times New Roman" w:ascii="Times New Roman" w:hAnsi="Times New Roman"/>
            <w:sz w:val="24"/>
            <w:szCs w:val="24"/>
          </w:rPr>
          <w:t>@</w:t>
        </w:r>
        <w:r>
          <w:rPr>
            <w:rStyle w:val="Hyperlink"/>
            <w:rFonts w:cs="Times New Roman" w:ascii="Times New Roman" w:hAnsi="Times New Roman"/>
            <w:sz w:val="24"/>
            <w:szCs w:val="24"/>
            <w:lang w:val="en-US"/>
          </w:rPr>
          <w:t>akgo</w:t>
        </w:r>
        <w:r>
          <w:rPr>
            <w:rStyle w:val="Hyperlink"/>
            <w:rFonts w:cs="Times New Roman" w:ascii="Times New Roman" w:hAnsi="Times New Roman"/>
            <w:sz w:val="24"/>
            <w:szCs w:val="24"/>
          </w:rPr>
          <w:t>74.</w:t>
        </w:r>
        <w:r>
          <w:rPr>
            <w:rStyle w:val="Hyperlink"/>
            <w:rFonts w:cs="Times New Roman" w:ascii="Times New Roman" w:hAnsi="Times New Roman"/>
            <w:sz w:val="24"/>
            <w:szCs w:val="24"/>
            <w:lang w:val="en-US"/>
          </w:rPr>
          <w:t>ru</w:t>
        </w:r>
      </w:hyperlink>
    </w:p>
    <w:p>
      <w:pPr>
        <w:pStyle w:val="Normal"/>
        <w:spacing w:lineRule="auto" w:line="240" w:before="0" w:after="0"/>
        <w:ind w:firstLine="708" w:left="0" w:right="0"/>
        <w:rPr>
          <w:rFonts w:ascii="Times New Roman" w:hAnsi="Times New Roman" w:cs="Times New Roman"/>
          <w:b/>
          <w:sz w:val="24"/>
          <w:szCs w:val="24"/>
        </w:rPr>
      </w:pPr>
      <w:r>
        <w:rPr>
          <w:rFonts w:cs="Times New Roman" w:ascii="Times New Roman" w:hAnsi="Times New Roman"/>
          <w:b/>
          <w:sz w:val="24"/>
          <w:szCs w:val="24"/>
        </w:rPr>
        <w:t xml:space="preserve">Начало приема заявок на участие в аукционе: с 8-30 час. 10 марта 2026 г. </w:t>
      </w:r>
    </w:p>
    <w:p>
      <w:pPr>
        <w:pStyle w:val="Normal"/>
        <w:spacing w:lineRule="auto" w:line="240" w:before="0" w:after="0"/>
        <w:ind w:firstLine="709" w:left="0" w:right="0"/>
        <w:rPr>
          <w:rFonts w:ascii="Times New Roman" w:hAnsi="Times New Roman" w:cs="Times New Roman"/>
          <w:b/>
          <w:sz w:val="24"/>
          <w:szCs w:val="24"/>
        </w:rPr>
      </w:pPr>
      <w:r>
        <w:rPr>
          <w:rFonts w:cs="Times New Roman" w:ascii="Times New Roman" w:hAnsi="Times New Roman"/>
          <w:b/>
          <w:sz w:val="24"/>
          <w:szCs w:val="24"/>
        </w:rPr>
        <w:t xml:space="preserve">Окончания приема заявок на участие в аукционе: до 17-00 час. 08 апреля 2026 </w:t>
      </w:r>
    </w:p>
    <w:p>
      <w:pPr>
        <w:pStyle w:val="Normal"/>
        <w:spacing w:lineRule="auto" w:line="240" w:before="0" w:after="0"/>
        <w:ind w:firstLine="709" w:left="0" w:right="0"/>
        <w:rPr>
          <w:rFonts w:ascii="Times New Roman" w:hAnsi="Times New Roman" w:cs="Times New Roman"/>
          <w:sz w:val="24"/>
          <w:szCs w:val="24"/>
        </w:rPr>
      </w:pPr>
      <w:r>
        <w:rPr>
          <w:rFonts w:cs="Times New Roman" w:ascii="Times New Roman" w:hAnsi="Times New Roman"/>
          <w:sz w:val="24"/>
          <w:szCs w:val="24"/>
        </w:rPr>
        <w:t>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Организатор отказывает в приеме заявки на участие в аукционе в случае:</w:t>
      </w:r>
    </w:p>
    <w:p>
      <w:pPr>
        <w:pStyle w:val="Normal"/>
        <w:numPr>
          <w:ilvl w:val="0"/>
          <w:numId w:val="4"/>
        </w:numPr>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предоставления заявки на участие в аукционе лицом, не имеющим права действовать от имени хозяйствующего субъекта;</w:t>
      </w:r>
    </w:p>
    <w:p>
      <w:pPr>
        <w:pStyle w:val="Normal"/>
        <w:numPr>
          <w:ilvl w:val="0"/>
          <w:numId w:val="5"/>
        </w:numPr>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подачи заявки на участие в аукционе по истечении установленного срока для подачи заявок.</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Претендент не допускается к участию в аукционе в случае:</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 подачи неполного пакета документов;</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 некорректного и (или) неполного заполнения формы заявки на участие в аукционе;</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 если лицо, подавшее заявку на участие в аукционе, не является хозяйствующим субъектом;</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 наличия сведений о хозяйствующем субъекте, об учредителях (участниках),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аукционов;</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bookmarkStart w:id="0" w:name="sub_1112"/>
      <w:r>
        <w:rPr>
          <w:rFonts w:eastAsia="Calibri" w:cs="Times New Roman" w:ascii="Times New Roman" w:hAnsi="Times New Roman"/>
          <w:sz w:val="24"/>
          <w:szCs w:val="24"/>
          <w:lang w:eastAsia="ru-RU"/>
        </w:rPr>
        <w:t>5) наличия задолженности по арендным платежам в бюджет Копейского городского округа.</w:t>
      </w:r>
      <w:bookmarkEnd w:id="0"/>
    </w:p>
    <w:p>
      <w:pPr>
        <w:pStyle w:val="Normal"/>
        <w:spacing w:lineRule="auto" w:line="240" w:before="0" w:after="0"/>
        <w:ind w:firstLine="709" w:left="0" w:right="0"/>
        <w:jc w:val="both"/>
        <w:rPr>
          <w:rFonts w:ascii="Times New Roman" w:hAnsi="Times New Roman" w:cs="Times New Roman"/>
          <w:b/>
          <w:sz w:val="24"/>
          <w:szCs w:val="24"/>
        </w:rPr>
      </w:pPr>
      <w:r>
        <w:rPr>
          <w:rFonts w:cs="Times New Roman" w:ascii="Times New Roman" w:hAnsi="Times New Roman"/>
          <w:b/>
          <w:sz w:val="24"/>
          <w:szCs w:val="24"/>
        </w:rPr>
        <w:t>5. Рассмотрение заявок на участие в аукционе проводится 10 апреля 2026 г., в     11-00 часов в администрации Копейского городского округа</w:t>
      </w:r>
      <w:r>
        <w:rPr>
          <w:rFonts w:cs="Times New Roman" w:ascii="Times New Roman" w:hAnsi="Times New Roman"/>
          <w:sz w:val="24"/>
          <w:szCs w:val="24"/>
        </w:rPr>
        <w:t xml:space="preserve"> </w:t>
      </w:r>
      <w:r>
        <w:rPr>
          <w:rFonts w:cs="Times New Roman" w:ascii="Times New Roman" w:hAnsi="Times New Roman"/>
          <w:b/>
          <w:sz w:val="24"/>
          <w:szCs w:val="24"/>
        </w:rPr>
        <w:t>ул. Ленина, 52, 1 этаж зал заседаний.</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Претендент вносит задаток на участие в аукционе за право на заключение договора в размере пятидесяти процентов от начальной цены. </w:t>
      </w:r>
      <w:r>
        <w:rPr>
          <w:rFonts w:cs="Times New Roman" w:ascii="Times New Roman" w:hAnsi="Times New Roman"/>
          <w:b/>
          <w:sz w:val="24"/>
          <w:szCs w:val="24"/>
        </w:rPr>
        <w:t xml:space="preserve">в срок до 12-00 час.  08 апреля 2026 </w:t>
      </w:r>
    </w:p>
    <w:p>
      <w:pPr>
        <w:pStyle w:val="Normal"/>
        <w:spacing w:lineRule="auto" w:line="24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Реквизиты счета для перечисления задатка: Финансовое управление администрации Копейского городского округа (администрация Копейского городского округа, л/с 05321100009ВР) ОКЦ № 5 УГУ БАНКА РОССИИ // УФК по Челябинской области г. Челябинск, р/с 03232643757280006900, кор/сч 40102810645370000062, БИК 017501500, ИНН 7411005270, КПП 743001001, ОКТМО 75728000.</w:t>
      </w:r>
    </w:p>
    <w:p>
      <w:pPr>
        <w:pStyle w:val="Normal"/>
        <w:spacing w:lineRule="auto" w:line="24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Назначение платежа</w:t>
      </w:r>
      <w:r>
        <w:rPr>
          <w:rFonts w:eastAsia="Times New Roman" w:cs="Times New Roman" w:ascii="Times New Roman" w:hAnsi="Times New Roman"/>
          <w:sz w:val="24"/>
          <w:szCs w:val="24"/>
          <w:lang w:eastAsia="ru-RU"/>
        </w:rPr>
        <w:t>: обеспечение заявки на участие в аукционе на предоставление права использования торгового места для размещения нестационарных объектов сезонной торговли.</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Требование о задатке на участие в аукционе в равной мере распространяется на всех участников аукциона.</w:t>
      </w:r>
    </w:p>
    <w:p>
      <w:pPr>
        <w:pStyle w:val="Normal"/>
        <w:spacing w:lineRule="auto" w:line="240" w:before="0" w:after="0"/>
        <w:ind w:firstLine="709" w:left="0" w:right="0"/>
        <w:jc w:val="both"/>
        <w:rPr>
          <w:rFonts w:ascii="Times New Roman" w:hAnsi="Times New Roman" w:cs="Times New Roman"/>
          <w:b/>
          <w:sz w:val="24"/>
          <w:szCs w:val="24"/>
        </w:rPr>
      </w:pPr>
      <w:r>
        <w:rPr>
          <w:rFonts w:cs="Times New Roman" w:ascii="Times New Roman" w:hAnsi="Times New Roman"/>
          <w:b/>
          <w:sz w:val="24"/>
          <w:szCs w:val="24"/>
        </w:rPr>
        <w:t>6. Проведение аукциона состоится в администрации Копейского городского округа ул. Ленина, 52, 1 этаж зал заседаний 14 апреля 2026 г., 11-00 часов.</w:t>
      </w:r>
    </w:p>
    <w:p>
      <w:pPr>
        <w:pStyle w:val="Normal"/>
        <w:spacing w:lineRule="auto" w:line="24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Начальная цена за право на заключение договора на использование торгового места для размещения объекта сезонной торговли</w:t>
      </w:r>
      <w:r>
        <w:rPr/>
        <w:t xml:space="preserve"> </w:t>
      </w:r>
      <w:r>
        <w:rPr>
          <w:rFonts w:cs="Times New Roman" w:ascii="Times New Roman" w:hAnsi="Times New Roman"/>
          <w:sz w:val="24"/>
          <w:szCs w:val="24"/>
        </w:rPr>
        <w:t xml:space="preserve">на период с 01.05.2026 по 31.10.2026 определена в соответствии с Методикой расчета платы за использование торговых мест для размещения нестационарных объектов сезонной торговли, утвержденной постановлением администрации Копейского городского округа от 12.03.2019 № 614-п. </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Шаг аукциона устанавливается в размере </w:t>
      </w:r>
      <w:r>
        <w:rPr>
          <w:rFonts w:cs="Times New Roman" w:ascii="Times New Roman" w:hAnsi="Times New Roman"/>
          <w:b/>
          <w:sz w:val="24"/>
          <w:szCs w:val="24"/>
        </w:rPr>
        <w:t>десяти процентов</w:t>
      </w:r>
      <w:r>
        <w:rPr>
          <w:rFonts w:cs="Times New Roman" w:ascii="Times New Roman" w:hAnsi="Times New Roman"/>
          <w:sz w:val="24"/>
          <w:szCs w:val="24"/>
        </w:rPr>
        <w:t xml:space="preserve"> от начальной цены предмета аукциона и остается единым в течение всего аукциона.</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Размер задатка устанавливается в размере </w:t>
      </w:r>
      <w:r>
        <w:rPr>
          <w:rFonts w:cs="Times New Roman" w:ascii="Times New Roman" w:hAnsi="Times New Roman"/>
          <w:b/>
          <w:sz w:val="24"/>
          <w:szCs w:val="24"/>
        </w:rPr>
        <w:t>пятидесяти процентов</w:t>
      </w:r>
      <w:r>
        <w:rPr>
          <w:rFonts w:cs="Times New Roman" w:ascii="Times New Roman" w:hAnsi="Times New Roman"/>
          <w:sz w:val="24"/>
          <w:szCs w:val="24"/>
        </w:rPr>
        <w:t xml:space="preserve"> от начальной цены за право на заключение договора:</w:t>
      </w:r>
    </w:p>
    <w:tbl>
      <w:tblPr>
        <w:tblStyle w:val="192"/>
        <w:tblW w:w="9750" w:type="dxa"/>
        <w:jc w:val="left"/>
        <w:tblInd w:w="108" w:type="dxa"/>
        <w:tblLayout w:type="fixed"/>
        <w:tblCellMar>
          <w:top w:w="0" w:type="dxa"/>
          <w:left w:w="5" w:type="dxa"/>
          <w:bottom w:w="0" w:type="dxa"/>
          <w:right w:w="5" w:type="dxa"/>
        </w:tblCellMar>
        <w:tblLook w:noVBand="1" w:val="04a0" w:noHBand="0" w:lastColumn="0" w:firstColumn="1" w:lastRow="0" w:firstRow="1"/>
      </w:tblPr>
      <w:tblGrid>
        <w:gridCol w:w="700"/>
        <w:gridCol w:w="2300"/>
        <w:gridCol w:w="2160"/>
        <w:gridCol w:w="1014"/>
        <w:gridCol w:w="1314"/>
        <w:gridCol w:w="1186"/>
        <w:gridCol w:w="1075"/>
      </w:tblGrid>
      <w:tr>
        <w:trPr/>
        <w:tc>
          <w:tcPr>
            <w:tcW w:w="700" w:type="dxa"/>
            <w:tcBorders/>
          </w:tcPr>
          <w:p>
            <w:pPr>
              <w:pStyle w:val="Normal"/>
              <w:widowControl/>
              <w:suppressAutoHyphens w:val="true"/>
              <w:spacing w:lineRule="auto" w:line="240" w:before="0" w:after="0"/>
              <w:ind w:hanging="0" w:left="0" w:right="0"/>
              <w:jc w:val="center"/>
              <w:rPr>
                <w:sz w:val="20"/>
                <w:szCs w:val="20"/>
              </w:rPr>
            </w:pPr>
            <w:r>
              <w:rPr>
                <w:rFonts w:eastAsia="Calibri" w:cs="Times New Roman" w:ascii="Times New Roman" w:hAnsi="Times New Roman"/>
                <w:spacing w:val="0"/>
                <w:kern w:val="0"/>
                <w:sz w:val="20"/>
                <w:szCs w:val="20"/>
                <w:shd w:fill="FFFFFF" w:val="clear"/>
                <w:lang w:val="ru-RU" w:eastAsia="en-US" w:bidi="ar-SA"/>
              </w:rPr>
              <w:t xml:space="preserve">№ </w:t>
            </w:r>
            <w:r>
              <w:rPr>
                <w:rFonts w:eastAsia="Calibri" w:cs="Times New Roman" w:ascii="Times New Roman" w:hAnsi="Times New Roman"/>
                <w:spacing w:val="0"/>
                <w:kern w:val="0"/>
                <w:sz w:val="20"/>
                <w:szCs w:val="20"/>
                <w:shd w:fill="FFFFFF" w:val="clear"/>
                <w:lang w:val="ru-RU" w:eastAsia="en-US" w:bidi="ar-SA"/>
              </w:rPr>
              <w:t>п/п (лот)</w:t>
            </w:r>
          </w:p>
        </w:tc>
        <w:tc>
          <w:tcPr>
            <w:tcW w:w="2300" w:type="dxa"/>
            <w:tcBorders/>
          </w:tcPr>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Адресный ориентир торгового места</w:t>
            </w:r>
          </w:p>
        </w:tc>
        <w:tc>
          <w:tcPr>
            <w:tcW w:w="2160" w:type="dxa"/>
            <w:tcBorders/>
          </w:tcPr>
          <w:p>
            <w:pPr>
              <w:pStyle w:val="Normal"/>
              <w:widowControl/>
              <w:suppressAutoHyphens w:val="true"/>
              <w:spacing w:lineRule="auto" w:line="240" w:before="0" w:after="0"/>
              <w:ind w:hanging="0" w:left="0" w:right="0"/>
              <w:jc w:val="center"/>
              <w:rPr>
                <w:sz w:val="20"/>
                <w:szCs w:val="20"/>
              </w:rPr>
            </w:pPr>
            <w:r>
              <w:rPr>
                <w:rFonts w:eastAsia="Calibri" w:cs="Times New Roman" w:ascii="Times New Roman" w:hAnsi="Times New Roman"/>
                <w:spacing w:val="0"/>
                <w:kern w:val="0"/>
                <w:sz w:val="20"/>
                <w:szCs w:val="20"/>
                <w:shd w:fill="FFFFFF" w:val="clear"/>
                <w:lang w:val="ru-RU" w:eastAsia="en-US" w:bidi="ar-SA"/>
              </w:rPr>
              <w:t>Реализуемый</w:t>
            </w:r>
          </w:p>
          <w:p>
            <w:pPr>
              <w:pStyle w:val="Normal"/>
              <w:widowControl/>
              <w:suppressAutoHyphens w:val="true"/>
              <w:spacing w:lineRule="auto" w:line="240" w:before="0" w:after="0"/>
              <w:ind w:hanging="0" w:left="0" w:right="0"/>
              <w:jc w:val="center"/>
              <w:rPr>
                <w:sz w:val="20"/>
                <w:szCs w:val="20"/>
              </w:rPr>
            </w:pPr>
            <w:r>
              <w:rPr>
                <w:rFonts w:eastAsia="Calibri" w:cs="Times New Roman" w:ascii="Times New Roman" w:hAnsi="Times New Roman"/>
                <w:spacing w:val="0"/>
                <w:kern w:val="0"/>
                <w:sz w:val="20"/>
                <w:szCs w:val="20"/>
                <w:shd w:fill="FFFFFF" w:val="clear"/>
                <w:lang w:val="ru-RU" w:eastAsia="en-US" w:bidi="ar-SA"/>
              </w:rPr>
              <w:t>ассортимент</w:t>
            </w:r>
          </w:p>
        </w:tc>
        <w:tc>
          <w:tcPr>
            <w:tcW w:w="1014" w:type="dxa"/>
            <w:tcBorders/>
          </w:tcPr>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Площадь торгового места, м2</w:t>
            </w:r>
          </w:p>
        </w:tc>
        <w:tc>
          <w:tcPr>
            <w:tcW w:w="1314" w:type="dxa"/>
            <w:tcBorders/>
          </w:tcPr>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Начальная цена размещения</w:t>
            </w:r>
          </w:p>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(184 дня), рублей</w:t>
            </w:r>
          </w:p>
        </w:tc>
        <w:tc>
          <w:tcPr>
            <w:tcW w:w="1186" w:type="dxa"/>
            <w:tcBorders/>
          </w:tcPr>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Шаг, 10% от начальной цены, рублей</w:t>
            </w:r>
          </w:p>
        </w:tc>
        <w:tc>
          <w:tcPr>
            <w:tcW w:w="1075" w:type="dxa"/>
            <w:tcBorders/>
          </w:tcPr>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Задаток, 50% от начальной цены,</w:t>
            </w:r>
          </w:p>
          <w:p>
            <w:pPr>
              <w:pStyle w:val="Normal"/>
              <w:widowControl/>
              <w:suppressAutoHyphens w:val="true"/>
              <w:spacing w:lineRule="auto" w:line="240" w:before="0" w:after="0"/>
              <w:ind w:hanging="0" w:left="0" w:right="0"/>
              <w:jc w:val="center"/>
              <w:rPr>
                <w:sz w:val="20"/>
                <w:szCs w:val="20"/>
              </w:rPr>
            </w:pPr>
            <w:r>
              <w:rPr>
                <w:rFonts w:eastAsia="Times New Roman" w:cs="Times New Roman" w:ascii="Times New Roman" w:hAnsi="Times New Roman"/>
                <w:spacing w:val="0"/>
                <w:kern w:val="0"/>
                <w:sz w:val="20"/>
                <w:szCs w:val="20"/>
                <w:shd w:fill="FFFFFF" w:val="clear"/>
                <w:lang w:val="ru-RU" w:eastAsia="en-US" w:bidi="ar-SA"/>
              </w:rPr>
              <w:t>рублей</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w:t>
            </w:r>
          </w:p>
        </w:tc>
        <w:tc>
          <w:tcPr>
            <w:tcW w:w="2300" w:type="dxa"/>
            <w:tcBorders/>
          </w:tcPr>
          <w:p>
            <w:pPr>
              <w:pStyle w:val="Normal"/>
              <w:widowControl/>
              <w:suppressAutoHyphens w:val="true"/>
              <w:spacing w:lineRule="auto" w:line="240" w:before="0" w:after="0"/>
              <w:ind w:hanging="0" w:left="0" w:right="0"/>
              <w:jc w:val="center"/>
              <w:rPr>
                <w:rFonts w:ascii="Times New Roman" w:hAnsi="Times New Roman" w:eastAsia="Times New Roman" w:cs="Times New Roman"/>
              </w:rPr>
            </w:pPr>
            <w:r>
              <w:rPr>
                <w:rFonts w:eastAsia="Times New Roman" w:cs="Times New Roman" w:ascii="Times New Roman" w:hAnsi="Times New Roman"/>
                <w:spacing w:val="0"/>
                <w:kern w:val="0"/>
                <w:sz w:val="22"/>
                <w:szCs w:val="22"/>
                <w:shd w:fill="FFFFFF" w:val="clear"/>
                <w:lang w:val="ru-RU" w:eastAsia="en-US" w:bidi="ar-SA"/>
              </w:rPr>
              <w:t>2</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eastAsia="Calibri" w:cs="Times New Roman"/>
              </w:rPr>
            </w:pPr>
            <w:r>
              <w:rPr>
                <w:rFonts w:eastAsia="Calibri" w:cs="Times New Roman" w:ascii="Times New Roman" w:hAnsi="Times New Roman"/>
                <w:spacing w:val="0"/>
                <w:kern w:val="0"/>
                <w:sz w:val="22"/>
                <w:szCs w:val="22"/>
                <w:shd w:fill="FFFFFF" w:val="clear"/>
                <w:lang w:val="ru-RU" w:eastAsia="en-US" w:bidi="ar-SA"/>
              </w:rPr>
              <w:t>3</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eastAsia="Times New Roman" w:cs="Times New Roman"/>
              </w:rPr>
            </w:pPr>
            <w:r>
              <w:rPr>
                <w:rFonts w:eastAsia="Times New Roman" w:cs="Times New Roman" w:ascii="Times New Roman" w:hAnsi="Times New Roman"/>
                <w:spacing w:val="0"/>
                <w:kern w:val="0"/>
                <w:sz w:val="22"/>
                <w:szCs w:val="22"/>
                <w:shd w:fill="FFFFFF" w:val="clear"/>
                <w:lang w:val="ru-RU" w:eastAsia="en-US" w:bidi="ar-SA"/>
              </w:rPr>
              <w:t>4</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eastAsia="Times New Roman" w:cs="Times New Roman"/>
              </w:rPr>
            </w:pPr>
            <w:r>
              <w:rPr>
                <w:rFonts w:eastAsia="Times New Roman" w:cs="Times New Roman" w:ascii="Times New Roman" w:hAnsi="Times New Roman"/>
                <w:spacing w:val="0"/>
                <w:kern w:val="0"/>
                <w:sz w:val="22"/>
                <w:szCs w:val="22"/>
                <w:shd w:fill="FFFFFF" w:val="clear"/>
                <w:lang w:val="ru-RU" w:eastAsia="en-US" w:bidi="ar-SA"/>
              </w:rPr>
              <w:t>5</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eastAsia="Times New Roman" w:cs="Times New Roman"/>
              </w:rPr>
            </w:pPr>
            <w:r>
              <w:rPr>
                <w:rFonts w:eastAsia="Times New Roman" w:cs="Times New Roman" w:ascii="Times New Roman" w:hAnsi="Times New Roman"/>
              </w:rPr>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eastAsia="Times New Roman" w:cs="Times New Roman"/>
              </w:rPr>
            </w:pPr>
            <w:r>
              <w:rPr>
                <w:rFonts w:eastAsia="Times New Roman" w:cs="Times New Roman" w:ascii="Times New Roman" w:hAnsi="Times New Roman"/>
              </w:rPr>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Лихачева 8</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центр города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w:t>
            </w:r>
          </w:p>
          <w:p>
            <w:pPr>
              <w:pStyle w:val="Normal"/>
              <w:widowControl/>
              <w:suppressAutoHyphens w:val="true"/>
              <w:spacing w:lineRule="auto" w:line="240" w:before="0" w:after="0"/>
              <w:ind w:hanging="0" w:left="0" w:right="0"/>
              <w:jc w:val="center"/>
              <w:rPr>
                <w:rFonts w:ascii="Times New Roman" w:hAnsi="Times New Roman" w:cs="Times New Roman"/>
              </w:rPr>
            </w:pPr>
            <w:r>
              <w:rPr/>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w:t>
            </w:r>
            <w:r>
              <w:rPr>
                <w:rFonts w:eastAsia="Calibri" w:cs="Times New Roman" w:ascii="Times New Roman" w:hAnsi="Times New Roman"/>
                <w:spacing w:val="0"/>
                <w:kern w:val="0"/>
                <w:sz w:val="22"/>
                <w:szCs w:val="22"/>
                <w:shd w:fill="FFFFFF" w:val="clear"/>
                <w:lang w:val="ru-RU" w:eastAsia="en-US" w:bidi="ar-SA"/>
              </w:rPr>
              <w:t>0447,50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Гастелло, 25</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центр города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w:t>
            </w:r>
            <w:r>
              <w:rPr>
                <w:rFonts w:eastAsia="Calibri" w:cs="Times New Roman" w:ascii="Times New Roman" w:hAnsi="Times New Roman"/>
                <w:spacing w:val="0"/>
                <w:kern w:val="0"/>
                <w:sz w:val="22"/>
                <w:szCs w:val="22"/>
                <w:shd w:fill="FFFFFF" w:val="clear"/>
                <w:lang w:val="ru-RU" w:eastAsia="en-US" w:bidi="ar-SA"/>
              </w:rPr>
              <w:t>0447,50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Калинина, 8</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центр города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20447,50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Калинина, 13 а</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центр города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20447,50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6</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Сутягина, 6</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центр города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4089,50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20447,50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7</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Чернышевского, 15</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жилой массив Горняк</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32716,00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3271,60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16358,00</w:t>
            </w:r>
          </w:p>
          <w:p>
            <w:pPr>
              <w:pStyle w:val="Normal"/>
              <w:widowControl/>
              <w:suppressAutoHyphens w:val="true"/>
              <w:spacing w:lineRule="auto" w:line="240" w:before="0" w:after="0"/>
              <w:ind w:hanging="0" w:left="0" w:right="0"/>
              <w:jc w:val="center"/>
              <w:rPr>
                <w:rFonts w:ascii="Times New Roman" w:hAnsi="Times New Roman" w:cs="Times New Roman"/>
              </w:rPr>
            </w:pPr>
            <w:r>
              <w:rPr/>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8</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переулок Тореза, 2</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жилой массив Потанино</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12268,50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9</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21 Партсъезда, 6</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жилой массив Бажова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12268,50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10</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Луначарского, 33/ул. Бажова 12</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жилой массив Бажова</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24537,00</w:t>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2453,70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12268,50</w:t>
            </w:r>
          </w:p>
        </w:tc>
      </w:tr>
      <w:tr>
        <w:trPr/>
        <w:tc>
          <w:tcPr>
            <w:tcW w:w="700"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11</w:t>
            </w:r>
          </w:p>
        </w:tc>
        <w:tc>
          <w:tcPr>
            <w:tcW w:w="2300" w:type="dxa"/>
            <w:tcBorders/>
          </w:tcPr>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ул. Коммунистическая, 29</w:t>
            </w:r>
          </w:p>
          <w:p>
            <w:pPr>
              <w:pStyle w:val="Normal"/>
              <w:widowControl/>
              <w:suppressAutoHyphens w:val="true"/>
              <w:spacing w:lineRule="auto" w:line="240" w:before="0" w:after="0"/>
              <w:ind w:hanging="0" w:left="0" w:right="0"/>
              <w:jc w:val="left"/>
              <w:rPr>
                <w:rFonts w:ascii="Times New Roman" w:hAnsi="Times New Roman" w:eastAsia="Times New Roman" w:cs="Times New Roman"/>
                <w:sz w:val="24"/>
                <w:szCs w:val="24"/>
              </w:rPr>
            </w:pPr>
            <w:r>
              <w:rPr>
                <w:rFonts w:eastAsia="Times New Roman" w:cs="Times New Roman" w:ascii="Times New Roman" w:hAnsi="Times New Roman"/>
                <w:spacing w:val="0"/>
                <w:kern w:val="0"/>
                <w:sz w:val="24"/>
                <w:szCs w:val="24"/>
                <w:shd w:fill="FFFFFF" w:val="clear"/>
                <w:lang w:val="ru-RU" w:eastAsia="en-US" w:bidi="ar-SA"/>
              </w:rPr>
              <w:t>жилой массив Старокамышинск</w:t>
            </w:r>
          </w:p>
        </w:tc>
        <w:tc>
          <w:tcPr>
            <w:tcW w:w="2160" w:type="dxa"/>
            <w:tcBorders/>
          </w:tcPr>
          <w:p>
            <w:pPr>
              <w:pStyle w:val="Normal"/>
              <w:widowControl/>
              <w:suppressAutoHyphens w:val="true"/>
              <w:spacing w:lineRule="auto" w:line="240" w:before="0" w:after="0"/>
              <w:ind w:hanging="0" w:left="0" w:right="0"/>
              <w:jc w:val="center"/>
              <w:rPr>
                <w:rFonts w:ascii="Times New Roman" w:hAnsi="Times New Roman" w:cs="Times New Roman"/>
                <w:sz w:val="16"/>
                <w:szCs w:val="16"/>
              </w:rPr>
            </w:pPr>
            <w:r>
              <w:rPr>
                <w:rFonts w:eastAsia="Calibri" w:cs="Times New Roman" w:ascii="Times New Roman" w:hAnsi="Times New Roman"/>
                <w:spacing w:val="0"/>
                <w:kern w:val="0"/>
                <w:sz w:val="16"/>
                <w:szCs w:val="16"/>
                <w:shd w:fill="FFFFFF" w:val="clear"/>
                <w:lang w:val="ru-RU" w:eastAsia="en-US" w:bidi="ar-SA"/>
              </w:rPr>
              <w:t>Плодоовощная продукция, бахчевые культуры, цветы, рассада, посадочный материал</w:t>
            </w:r>
          </w:p>
        </w:tc>
        <w:tc>
          <w:tcPr>
            <w:tcW w:w="10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30</w:t>
            </w:r>
          </w:p>
        </w:tc>
        <w:tc>
          <w:tcPr>
            <w:tcW w:w="1314"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20448,00</w:t>
            </w:r>
          </w:p>
          <w:p>
            <w:pPr>
              <w:pStyle w:val="Normal"/>
              <w:widowControl/>
              <w:suppressAutoHyphens w:val="true"/>
              <w:spacing w:lineRule="auto" w:line="240" w:before="0" w:after="0"/>
              <w:ind w:hanging="0" w:left="0" w:right="0"/>
              <w:jc w:val="center"/>
              <w:rPr>
                <w:rFonts w:ascii="Times New Roman" w:hAnsi="Times New Roman" w:cs="Times New Roman"/>
              </w:rPr>
            </w:pPr>
            <w:r>
              <w:rPr>
                <w:rFonts w:cs="Times New Roman" w:ascii="Times New Roman" w:hAnsi="Times New Roman"/>
              </w:rPr>
            </w:r>
          </w:p>
        </w:tc>
        <w:tc>
          <w:tcPr>
            <w:tcW w:w="1186"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2044,80</w:t>
            </w:r>
          </w:p>
        </w:tc>
        <w:tc>
          <w:tcPr>
            <w:tcW w:w="1075" w:type="dxa"/>
            <w:tcBorders/>
          </w:tcPr>
          <w:p>
            <w:pPr>
              <w:pStyle w:val="Normal"/>
              <w:widowControl/>
              <w:suppressAutoHyphens w:val="true"/>
              <w:spacing w:lineRule="auto" w:line="240" w:before="0" w:after="0"/>
              <w:ind w:hanging="0" w:left="0" w:right="0"/>
              <w:jc w:val="center"/>
              <w:rPr>
                <w:rFonts w:ascii="Times New Roman" w:hAnsi="Times New Roman" w:cs="Times New Roman"/>
              </w:rPr>
            </w:pPr>
            <w:r>
              <w:rPr>
                <w:rFonts w:eastAsia="Calibri" w:cs="Times New Roman" w:ascii="Times New Roman" w:hAnsi="Times New Roman"/>
                <w:spacing w:val="0"/>
                <w:kern w:val="0"/>
                <w:sz w:val="22"/>
                <w:szCs w:val="22"/>
                <w:shd w:fill="FFFFFF" w:val="clear"/>
                <w:lang w:val="ru-RU" w:eastAsia="en-US" w:bidi="ar-SA"/>
              </w:rPr>
              <w:t>10224,00</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7.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pPr>
        <w:pStyle w:val="Normal"/>
        <w:spacing w:lineRule="auto" w:line="240" w:before="0" w:after="0"/>
        <w:ind w:firstLine="708" w:left="0" w:right="0"/>
        <w:jc w:val="both"/>
        <w:rPr>
          <w:rFonts w:ascii="Times New Roman" w:hAnsi="Times New Roman" w:cs="Times New Roman"/>
          <w:sz w:val="24"/>
          <w:szCs w:val="24"/>
        </w:rPr>
      </w:pPr>
      <w:bookmarkStart w:id="1" w:name="sub_1101"/>
      <w:bookmarkEnd w:id="1"/>
      <w:r>
        <w:rPr>
          <w:rFonts w:cs="Times New Roman" w:ascii="Times New Roman" w:hAnsi="Times New Roman"/>
          <w:sz w:val="24"/>
          <w:szCs w:val="24"/>
        </w:rPr>
        <w:t xml:space="preserve">Участники аукциона непосредственно на процедуре аукциона оглашают свои ценовые предложения. </w:t>
      </w:r>
    </w:p>
    <w:p>
      <w:pPr>
        <w:pStyle w:val="Normal"/>
        <w:spacing w:lineRule="auto" w:line="240" w:before="0" w:after="0"/>
        <w:ind w:firstLine="708" w:left="0" w:right="0"/>
        <w:jc w:val="both"/>
        <w:rPr>
          <w:rFonts w:ascii="Times New Roman" w:hAnsi="Times New Roman" w:cs="Times New Roman"/>
          <w:sz w:val="24"/>
          <w:szCs w:val="24"/>
        </w:rPr>
      </w:pPr>
      <w:bookmarkStart w:id="2" w:name="sub_1105"/>
      <w:bookmarkStart w:id="3" w:name="sub_1101_Копия_1"/>
      <w:bookmarkEnd w:id="2"/>
      <w:bookmarkEnd w:id="3"/>
      <w:r>
        <w:rPr>
          <w:rFonts w:cs="Times New Roman" w:ascii="Times New Roman" w:hAnsi="Times New Roman"/>
          <w:sz w:val="24"/>
          <w:szCs w:val="24"/>
        </w:rPr>
        <w:t>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w:t>
      </w:r>
    </w:p>
    <w:p>
      <w:pPr>
        <w:pStyle w:val="Normal"/>
        <w:spacing w:lineRule="auto" w:line="240" w:before="0" w:after="0"/>
        <w:ind w:firstLine="708" w:left="0" w:right="0"/>
        <w:jc w:val="both"/>
        <w:rPr>
          <w:rFonts w:ascii="Times New Roman" w:hAnsi="Times New Roman" w:cs="Times New Roman"/>
          <w:sz w:val="24"/>
          <w:szCs w:val="24"/>
        </w:rPr>
      </w:pPr>
      <w:bookmarkStart w:id="4" w:name="sub_1106"/>
      <w:bookmarkStart w:id="5" w:name="sub_1105_Копия_1"/>
      <w:bookmarkEnd w:id="4"/>
      <w:bookmarkEnd w:id="5"/>
      <w:r>
        <w:rPr>
          <w:rFonts w:cs="Times New Roman" w:ascii="Times New Roman" w:hAnsi="Times New Roman"/>
          <w:sz w:val="24"/>
          <w:szCs w:val="24"/>
        </w:rPr>
        <w:t>Предложения на повышение цены могут вноситься участниками в произвольном порядке или по очереди.</w:t>
      </w:r>
    </w:p>
    <w:p>
      <w:pPr>
        <w:pStyle w:val="Normal"/>
        <w:spacing w:lineRule="auto" w:line="240" w:before="0" w:after="0"/>
        <w:ind w:firstLine="708" w:left="0" w:right="0"/>
        <w:jc w:val="both"/>
        <w:rPr>
          <w:rFonts w:ascii="Times New Roman" w:hAnsi="Times New Roman" w:cs="Times New Roman"/>
          <w:sz w:val="24"/>
          <w:szCs w:val="24"/>
        </w:rPr>
      </w:pPr>
      <w:bookmarkStart w:id="6" w:name="sub_1109"/>
      <w:bookmarkStart w:id="7" w:name="sub_1106_Копия_1"/>
      <w:bookmarkEnd w:id="7"/>
      <w:r>
        <w:rPr>
          <w:rFonts w:cs="Times New Roman" w:ascii="Times New Roman" w:hAnsi="Times New Roman"/>
          <w:sz w:val="24"/>
          <w:szCs w:val="24"/>
        </w:rPr>
        <w:t>Победителем аукциона признается участник, предложивший самую высокую цену лота, на которой завершился аукцион.</w:t>
      </w:r>
      <w:bookmarkEnd w:id="6"/>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 xml:space="preserve">Протокол аукциона размещается на </w:t>
      </w:r>
      <w:hyperlink r:id="rId3">
        <w:r>
          <w:rPr>
            <w:rStyle w:val="Style10"/>
            <w:rFonts w:cs="Times New Roman" w:ascii="Times New Roman" w:hAnsi="Times New Roman"/>
            <w:b w:val="false"/>
            <w:color w:val="auto"/>
            <w:sz w:val="24"/>
            <w:szCs w:val="24"/>
          </w:rPr>
          <w:t>официальном сайте</w:t>
        </w:r>
      </w:hyperlink>
      <w:r>
        <w:rPr>
          <w:rFonts w:cs="Times New Roman" w:ascii="Times New Roman" w:hAnsi="Times New Roman"/>
          <w:sz w:val="24"/>
          <w:szCs w:val="24"/>
        </w:rPr>
        <w:t xml:space="preserve"> администрации городского округа в течение дня, следующего после дня подписания вышеуказанного протокола.</w:t>
      </w:r>
    </w:p>
    <w:p>
      <w:pPr>
        <w:pStyle w:val="Normal"/>
        <w:spacing w:lineRule="auto" w:line="240" w:before="0" w:after="0"/>
        <w:ind w:firstLine="708" w:left="0" w:right="0"/>
        <w:jc w:val="both"/>
        <w:rPr>
          <w:rFonts w:ascii="Times New Roman" w:hAnsi="Times New Roman" w:cs="Times New Roman"/>
          <w:sz w:val="24"/>
          <w:szCs w:val="24"/>
        </w:rPr>
      </w:pPr>
      <w:bookmarkStart w:id="8" w:name="sub_1111"/>
      <w:r>
        <w:rPr>
          <w:rFonts w:cs="Times New Roman" w:ascii="Times New Roman" w:hAnsi="Times New Roman"/>
          <w:sz w:val="24"/>
          <w:szCs w:val="24"/>
        </w:rPr>
        <w:t xml:space="preserve">8. 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 </w:t>
      </w:r>
      <w:bookmarkEnd w:id="8"/>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9. Срок действия договора не может превышать срок, входящий в период реализации сезонных товаров.</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cs="Times New Roman" w:ascii="Times New Roman" w:hAnsi="Times New Roman"/>
          <w:sz w:val="24"/>
          <w:szCs w:val="24"/>
        </w:rPr>
        <w:t xml:space="preserve">10. </w:t>
      </w:r>
      <w:r>
        <w:rPr>
          <w:rFonts w:eastAsia="Calibri" w:cs="Times New Roman" w:ascii="Times New Roman" w:hAnsi="Times New Roman"/>
          <w:sz w:val="24"/>
          <w:szCs w:val="24"/>
          <w:lang w:eastAsia="ru-RU"/>
        </w:rPr>
        <w:t>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 УЭР направляет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он не представил в УЭР, подписанный им договор, Управление вправе объявить о проведении повторного аукциона. </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12. При уклонении или отказе победителя, единственного участника аукциона от заключения договора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pPr>
        <w:pStyle w:val="Normal"/>
        <w:spacing w:lineRule="auto" w:line="240" w:before="0" w:after="0"/>
        <w:ind w:firstLine="720" w:left="0" w:right="0"/>
        <w:jc w:val="both"/>
        <w:rPr>
          <w:rFonts w:ascii="Times New Roman" w:hAnsi="Times New Roman" w:eastAsia="Calibri" w:cs="Times New Roman"/>
          <w:sz w:val="24"/>
          <w:szCs w:val="24"/>
          <w:lang w:eastAsia="ru-RU"/>
        </w:rPr>
      </w:pPr>
      <w:bookmarkStart w:id="9" w:name="sub_1098"/>
      <w:r>
        <w:rPr>
          <w:rFonts w:eastAsia="Calibri" w:cs="Times New Roman" w:ascii="Times New Roman" w:hAnsi="Times New Roman"/>
          <w:sz w:val="24"/>
          <w:szCs w:val="24"/>
          <w:lang w:eastAsia="ru-RU"/>
        </w:rPr>
        <w:t>13. В случае 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Организатор обязан вернуть такому участнику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w:t>
      </w:r>
      <w:bookmarkEnd w:id="9"/>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14.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15. Со дня официального опубликования извещения о проведение аукциона организатор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копию аукционной документации.</w:t>
      </w:r>
    </w:p>
    <w:p>
      <w:pPr>
        <w:pStyle w:val="Normal"/>
        <w:spacing w:lineRule="auto" w:line="240" w:before="0" w:after="0"/>
        <w:ind w:firstLine="708" w:left="0" w:right="0"/>
        <w:jc w:val="both"/>
        <w:rPr>
          <w:rFonts w:ascii="Times New Roman" w:hAnsi="Times New Roman" w:cs="Times New Roman"/>
          <w:sz w:val="24"/>
          <w:szCs w:val="24"/>
        </w:rPr>
      </w:pPr>
      <w:r>
        <w:rPr>
          <w:rFonts w:cs="Times New Roman" w:ascii="Times New Roman" w:hAnsi="Times New Roman"/>
          <w:sz w:val="24"/>
          <w:szCs w:val="24"/>
        </w:rPr>
        <w:t>Любой претендент вправе направить в письменной форме организатору запрос о разъяснении положений документации об аукционе. В течение двух рабочих дней со дня поступления указанного запроса организатор обязан направить в письменной форме разъяснения положений документации, если указанный запрос поступил организатору не позднее двух рабочих дней до дня окончания срока подачи заявок на участие в аукционе.</w:t>
      </w:r>
    </w:p>
    <w:p>
      <w:pPr>
        <w:pStyle w:val="Normal"/>
        <w:spacing w:lineRule="auto" w:line="240" w:before="0" w:after="0"/>
        <w:ind w:hanging="0" w:left="7788" w:right="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извещению</w:t>
      </w:r>
    </w:p>
    <w:p>
      <w:pPr>
        <w:pStyle w:val="Style14"/>
        <w:jc w:val="center"/>
        <w:rPr>
          <w:rFonts w:ascii="Times New Roman" w:hAnsi="Times New Roman" w:cs="Times New Roman"/>
        </w:rPr>
      </w:pPr>
      <w:r>
        <w:rPr>
          <w:rStyle w:val="Style9"/>
          <w:rFonts w:cs="Times New Roman" w:ascii="Times New Roman" w:hAnsi="Times New Roman"/>
        </w:rPr>
        <w:t>Заявка</w:t>
      </w:r>
    </w:p>
    <w:p>
      <w:pPr>
        <w:pStyle w:val="Style14"/>
        <w:jc w:val="center"/>
        <w:rPr>
          <w:rFonts w:ascii="Times New Roman" w:hAnsi="Times New Roman" w:cs="Times New Roman"/>
        </w:rPr>
      </w:pPr>
      <w:r>
        <w:rPr>
          <w:rStyle w:val="Style9"/>
          <w:rFonts w:cs="Times New Roman" w:ascii="Times New Roman" w:hAnsi="Times New Roman"/>
        </w:rPr>
        <w:t>на участие в открытом аукционе на право использования торгового места для</w:t>
      </w:r>
      <w:r>
        <w:rPr>
          <w:rFonts w:cs="Times New Roman" w:ascii="Times New Roman" w:hAnsi="Times New Roman"/>
        </w:rPr>
        <w:t xml:space="preserve"> </w:t>
      </w:r>
      <w:r>
        <w:rPr>
          <w:rStyle w:val="Style9"/>
          <w:rFonts w:cs="Times New Roman" w:ascii="Times New Roman" w:hAnsi="Times New Roman"/>
        </w:rPr>
        <w:t>размещения нестационарных объектов сезонной торговли</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Style14"/>
        <w:rPr>
          <w:rFonts w:ascii="Times New Roman" w:hAnsi="Times New Roman" w:cs="Times New Roman"/>
          <w:sz w:val="22"/>
          <w:szCs w:val="22"/>
        </w:rPr>
      </w:pPr>
      <w:r>
        <w:rPr>
          <w:rFonts w:cs="Times New Roman" w:ascii="Times New Roman" w:hAnsi="Times New Roman"/>
          <w:sz w:val="22"/>
          <w:szCs w:val="22"/>
        </w:rPr>
        <w:t>Полное наименование предприятия (Ф.И.О. ИП, ЮЛ)</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ОГРН_______________________________________________________________________________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информация о внесении в Единый государственный реестр</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ИНН 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Выдано______________________________________________________________________________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Юридический адрес, телефон (для ИП - место регистрации, проживания, паспортные данные, телефон) 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Ф.И.О. руководителя__________________________________________________________________</w:t>
      </w:r>
    </w:p>
    <w:p>
      <w:pPr>
        <w:pStyle w:val="Normal"/>
        <w:rPr>
          <w:rFonts w:ascii="Times New Roman" w:hAnsi="Times New Roman" w:eastAsia="Calibri" w:cs="Times New Roman"/>
          <w:lang w:eastAsia="ru-RU"/>
        </w:rPr>
      </w:pPr>
      <w:r>
        <w:rPr>
          <w:rFonts w:eastAsia="Calibri" w:cs="Times New Roman" w:ascii="Times New Roman" w:hAnsi="Times New Roman"/>
          <w:lang w:eastAsia="ru-RU"/>
        </w:rPr>
        <w:t>Банковские реквизиты расчетного (лицевого) счета Претендента для возврата задатка: __________________________________________________________________________________________________________________________________________________________________________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Наименование объекта:________________________________________________________________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Адрес размещения объекта. Площадь объекта:</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t>Ассортиментный перечень товаров (перечень услуг):</w:t>
      </w:r>
    </w:p>
    <w:p>
      <w:pPr>
        <w:pStyle w:val="Style14"/>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14"/>
        <w:rPr>
          <w:rFonts w:ascii="Times New Roman" w:hAnsi="Times New Roman" w:cs="Times New Roman"/>
          <w:sz w:val="22"/>
          <w:szCs w:val="22"/>
        </w:rPr>
      </w:pPr>
      <w:r>
        <w:rPr>
          <w:rFonts w:cs="Times New Roman" w:ascii="Times New Roman" w:hAnsi="Times New Roman"/>
          <w:sz w:val="22"/>
          <w:szCs w:val="22"/>
        </w:rPr>
      </w:r>
    </w:p>
    <w:p>
      <w:pPr>
        <w:pStyle w:val="Style14"/>
        <w:rPr>
          <w:rFonts w:ascii="Times New Roman" w:hAnsi="Times New Roman" w:cs="Times New Roman"/>
          <w:sz w:val="22"/>
          <w:szCs w:val="22"/>
        </w:rPr>
      </w:pPr>
      <w:r>
        <w:rPr>
          <w:rFonts w:cs="Times New Roman" w:ascii="Times New Roman" w:hAnsi="Times New Roman"/>
          <w:sz w:val="22"/>
          <w:szCs w:val="22"/>
        </w:rPr>
        <w:t>С условиями аукциона и порядком его проведения ознакомлен.</w:t>
      </w:r>
    </w:p>
    <w:p>
      <w:pPr>
        <w:pStyle w:val="Style14"/>
        <w:rPr>
          <w:rFonts w:ascii="Times New Roman" w:hAnsi="Times New Roman" w:cs="Times New Roman"/>
          <w:sz w:val="22"/>
          <w:szCs w:val="22"/>
        </w:rPr>
      </w:pPr>
      <w:r>
        <w:rPr>
          <w:rFonts w:cs="Times New Roman" w:ascii="Times New Roman" w:hAnsi="Times New Roman"/>
          <w:sz w:val="22"/>
          <w:szCs w:val="22"/>
        </w:rPr>
      </w:r>
    </w:p>
    <w:p>
      <w:pPr>
        <w:pStyle w:val="Style14"/>
        <w:rPr>
          <w:rFonts w:ascii="Times New Roman" w:hAnsi="Times New Roman" w:cs="Times New Roman"/>
          <w:sz w:val="22"/>
          <w:szCs w:val="22"/>
        </w:rPr>
      </w:pPr>
      <w:r>
        <w:rPr>
          <w:rFonts w:cs="Times New Roman" w:ascii="Times New Roman" w:hAnsi="Times New Roman"/>
          <w:sz w:val="22"/>
          <w:szCs w:val="22"/>
        </w:rPr>
      </w:r>
    </w:p>
    <w:p>
      <w:pPr>
        <w:pStyle w:val="Style14"/>
        <w:rPr>
          <w:rFonts w:ascii="Times New Roman" w:hAnsi="Times New Roman" w:cs="Times New Roman"/>
          <w:sz w:val="22"/>
          <w:szCs w:val="22"/>
        </w:rPr>
      </w:pPr>
      <w:r>
        <w:rPr>
          <w:rFonts w:cs="Times New Roman" w:ascii="Times New Roman" w:hAnsi="Times New Roman"/>
          <w:sz w:val="22"/>
          <w:szCs w:val="22"/>
        </w:rPr>
        <w:t>дата подачи заявки                                                       __________________________</w:t>
      </w:r>
    </w:p>
    <w:p>
      <w:pPr>
        <w:pStyle w:val="Style14"/>
        <w:ind w:firstLine="708" w:left="4956" w:right="0"/>
        <w:rPr>
          <w:rFonts w:ascii="Times New Roman" w:hAnsi="Times New Roman" w:cs="Times New Roman"/>
          <w:sz w:val="22"/>
          <w:szCs w:val="22"/>
        </w:rPr>
      </w:pPr>
      <w:r>
        <w:rPr>
          <w:rFonts w:cs="Times New Roman" w:ascii="Times New Roman" w:hAnsi="Times New Roman"/>
          <w:sz w:val="22"/>
          <w:szCs w:val="22"/>
        </w:rPr>
        <w:t>(подпись), МП</w:t>
      </w:r>
    </w:p>
    <w:p>
      <w:pPr>
        <w:pStyle w:val="Normal"/>
        <w:ind w:firstLine="708" w:left="0" w:right="0"/>
        <w:jc w:val="both"/>
        <w:rPr>
          <w:rFonts w:ascii="Times New Roman" w:hAnsi="Times New Roman" w:eastAsia="Calibri" w:cs="Times New Roman"/>
          <w:lang w:eastAsia="ru-RU"/>
        </w:rPr>
      </w:pPr>
      <w:r>
        <w:rPr>
          <w:rFonts w:eastAsia="Calibri" w:cs="Times New Roman" w:ascii="Times New Roman" w:hAnsi="Times New Roman"/>
          <w:lang w:eastAsia="ru-RU"/>
        </w:rPr>
      </w:r>
    </w:p>
    <w:p>
      <w:pPr>
        <w:pStyle w:val="Normal"/>
        <w:spacing w:lineRule="auto" w:line="240"/>
        <w:jc w:val="both"/>
        <w:rPr>
          <w:rFonts w:ascii="Times New Roman" w:hAnsi="Times New Roman" w:eastAsia="Calibri" w:cs="Times New Roman"/>
          <w:lang w:eastAsia="ru-RU"/>
        </w:rPr>
      </w:pPr>
      <w:r>
        <w:rPr>
          <w:rFonts w:eastAsia="Calibri" w:cs="Times New Roman" w:ascii="Times New Roman" w:hAnsi="Times New Roman"/>
          <w:lang w:eastAsia="ru-RU"/>
        </w:rPr>
        <w:t>Подтверждаю, что в отношении __________________________________ не ведется процедур банкротства или ликвидации, а также процедуры административного приостановления деятельности.</w:t>
      </w:r>
    </w:p>
    <w:p>
      <w:pPr>
        <w:pStyle w:val="Style14"/>
        <w:rPr>
          <w:rFonts w:ascii="Times New Roman" w:hAnsi="Times New Roman" w:cs="Times New Roman"/>
          <w:sz w:val="22"/>
          <w:szCs w:val="22"/>
        </w:rPr>
      </w:pPr>
      <w:r>
        <w:rPr>
          <w:rFonts w:cs="Times New Roman" w:ascii="Times New Roman" w:hAnsi="Times New Roman"/>
          <w:sz w:val="22"/>
          <w:szCs w:val="22"/>
        </w:rPr>
        <w:tab/>
        <w:tab/>
        <w:tab/>
        <w:tab/>
        <w:tab/>
        <w:tab/>
        <w:tab/>
        <w:tab/>
        <w:t xml:space="preserve">  __________________________</w:t>
      </w:r>
    </w:p>
    <w:p>
      <w:pPr>
        <w:pStyle w:val="Style14"/>
        <w:ind w:hanging="0" w:left="6372" w:right="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МП</w:t>
      </w:r>
    </w:p>
    <w:p>
      <w:pPr>
        <w:pStyle w:val="Style14"/>
        <w:jc w:val="center"/>
        <w:rPr>
          <w:rFonts w:ascii="Times New Roman" w:hAnsi="Times New Roman" w:cs="Times New Roman"/>
          <w:sz w:val="22"/>
          <w:szCs w:val="22"/>
        </w:rPr>
      </w:pPr>
      <w:r>
        <w:rPr>
          <w:rFonts w:cs="Times New Roman" w:ascii="Times New Roman" w:hAnsi="Times New Roman"/>
          <w:sz w:val="22"/>
          <w:szCs w:val="22"/>
        </w:rPr>
      </w:r>
    </w:p>
    <w:p>
      <w:pPr>
        <w:pStyle w:val="Style14"/>
        <w:jc w:val="center"/>
        <w:rPr>
          <w:rFonts w:ascii="Times New Roman" w:hAnsi="Times New Roman" w:cs="Times New Roman"/>
          <w:sz w:val="20"/>
          <w:szCs w:val="20"/>
        </w:rPr>
      </w:pPr>
      <w:r>
        <w:rPr>
          <w:rFonts w:cs="Times New Roman" w:ascii="Times New Roman" w:hAnsi="Times New Roman"/>
          <w:sz w:val="20"/>
          <w:szCs w:val="20"/>
        </w:rPr>
        <w:t>Приложение:</w:t>
      </w:r>
    </w:p>
    <w:p>
      <w:pPr>
        <w:pStyle w:val="Style14"/>
        <w:ind w:firstLine="709" w:left="0" w:right="0"/>
        <w:jc w:val="both"/>
        <w:rPr>
          <w:rFonts w:ascii="Times New Roman" w:hAnsi="Times New Roman" w:cs="Times New Roman"/>
          <w:sz w:val="20"/>
          <w:szCs w:val="20"/>
        </w:rPr>
      </w:pPr>
      <w:r>
        <w:rPr>
          <w:rFonts w:cs="Times New Roman" w:ascii="Times New Roman" w:hAnsi="Times New Roman"/>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Style14"/>
        <w:ind w:firstLine="709" w:left="0" w:right="0"/>
        <w:jc w:val="both"/>
        <w:rPr>
          <w:rFonts w:ascii="Times New Roman" w:hAnsi="Times New Roman" w:cs="Times New Roman"/>
          <w:sz w:val="20"/>
          <w:szCs w:val="20"/>
        </w:rPr>
      </w:pPr>
      <w:r>
        <w:rPr>
          <w:rFonts w:cs="Times New Roman" w:ascii="Times New Roman" w:hAnsi="Times New Roman"/>
          <w:sz w:val="20"/>
          <w:szCs w:val="20"/>
        </w:rPr>
        <w:t>2) копия паспорта, заверенная индивидуальным предпринимателем (для индивидуальных предпринимателей);</w:t>
      </w:r>
    </w:p>
    <w:p>
      <w:pPr>
        <w:pStyle w:val="Style14"/>
        <w:ind w:firstLine="709" w:left="0" w:right="0"/>
        <w:jc w:val="both"/>
        <w:rPr>
          <w:rFonts w:ascii="Times New Roman" w:hAnsi="Times New Roman" w:cs="Times New Roman"/>
          <w:sz w:val="20"/>
          <w:szCs w:val="20"/>
        </w:rPr>
      </w:pPr>
      <w:r>
        <w:rPr>
          <w:rFonts w:cs="Times New Roman" w:ascii="Times New Roman" w:hAnsi="Times New Roman"/>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9" w:left="0" w:right="0"/>
        <w:jc w:val="both"/>
        <w:rPr>
          <w:rFonts w:ascii="Times New Roman" w:hAnsi="Times New Roman" w:eastAsia="Times New Roman" w:cs="Times New Roman"/>
          <w:sz w:val="20"/>
          <w:szCs w:val="20"/>
          <w:lang w:eastAsia="ru-RU"/>
        </w:rPr>
      </w:pPr>
      <w:r>
        <w:rPr>
          <w:rFonts w:cs="Times New Roman" w:ascii="Times New Roman" w:hAnsi="Times New Roman"/>
          <w:sz w:val="20"/>
          <w:szCs w:val="20"/>
        </w:rPr>
        <w:t xml:space="preserve">4) </w:t>
      </w:r>
      <w:r>
        <w:rPr>
          <w:rFonts w:eastAsia="Calibri" w:cs="Times New Roman" w:ascii="Times New Roman" w:hAnsi="Times New Roman"/>
          <w:sz w:val="20"/>
          <w:szCs w:val="20"/>
          <w:lang w:eastAsia="ru-RU"/>
        </w:rPr>
        <w:t>сведения об отсутствии задолженности по арендным платежам в бюджет муниципального образования «Копейский городской округ</w:t>
      </w:r>
      <w:r>
        <w:rPr>
          <w:rFonts w:eastAsia="Times New Roman" w:cs="Times New Roman" w:ascii="Times New Roman" w:hAnsi="Times New Roman"/>
          <w:sz w:val="20"/>
          <w:szCs w:val="20"/>
          <w:lang w:eastAsia="ru-RU"/>
        </w:rPr>
        <w:t>» по состоянию на первое число месяца, предыдущего месяцу, в котором подано заявление на заключение договора.</w:t>
      </w:r>
    </w:p>
    <w:p>
      <w:pPr>
        <w:pStyle w:val="Style14"/>
        <w:ind w:firstLine="709" w:left="0" w:right="0"/>
        <w:jc w:val="both"/>
        <w:rPr>
          <w:rFonts w:ascii="Times New Roman" w:hAnsi="Times New Roman" w:cs="Times New Roman"/>
          <w:sz w:val="20"/>
          <w:szCs w:val="20"/>
        </w:rPr>
      </w:pPr>
      <w:r>
        <w:rPr>
          <w:rFonts w:eastAsia="Times New Roman" w:cs="Times New Roman" w:ascii="Times New Roman" w:hAnsi="Times New Roman"/>
          <w:sz w:val="20"/>
          <w:szCs w:val="20"/>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r>
        <w:rPr>
          <w:rFonts w:cs="Times New Roman" w:ascii="Times New Roman" w:hAnsi="Times New Roman"/>
          <w:sz w:val="20"/>
          <w:szCs w:val="20"/>
        </w:rPr>
        <w:t>;</w:t>
      </w:r>
    </w:p>
    <w:p>
      <w:pPr>
        <w:pStyle w:val="Style14"/>
        <w:ind w:firstLine="709" w:left="0" w:right="0"/>
        <w:jc w:val="both"/>
        <w:rPr>
          <w:rFonts w:ascii="Times New Roman" w:hAnsi="Times New Roman" w:cs="Times New Roman"/>
          <w:sz w:val="20"/>
          <w:szCs w:val="20"/>
        </w:rPr>
      </w:pPr>
      <w:r>
        <w:rPr>
          <w:rFonts w:cs="Times New Roman" w:ascii="Times New Roman" w:hAnsi="Times New Roman"/>
          <w:sz w:val="20"/>
          <w:szCs w:val="20"/>
        </w:rPr>
        <w:t>5) документ, подтверждающий полномочия лица на осуществление действий от имени претендента;</w:t>
      </w:r>
    </w:p>
    <w:p>
      <w:pPr>
        <w:pStyle w:val="Normal"/>
        <w:spacing w:before="0" w:after="200"/>
        <w:ind w:firstLine="709" w:left="0" w:right="0"/>
        <w:rPr>
          <w:rFonts w:ascii="Times New Roman" w:hAnsi="Times New Roman" w:cs="Times New Roman"/>
          <w:sz w:val="20"/>
          <w:szCs w:val="20"/>
          <w:lang w:eastAsia="ru-RU"/>
        </w:rPr>
      </w:pPr>
      <w:r>
        <w:rPr>
          <w:rFonts w:cs="Times New Roman" w:ascii="Times New Roman" w:hAnsi="Times New Roman"/>
          <w:sz w:val="20"/>
          <w:szCs w:val="20"/>
          <w:lang w:eastAsia="ru-RU"/>
        </w:rPr>
        <w:t>6) банковские реквизиты расчетного счета.</w:t>
      </w:r>
    </w:p>
    <w:sectPr>
      <w:headerReference w:type="default" r:id="rId4"/>
      <w:type w:val="nextPage"/>
      <w:pgSz w:w="11906" w:h="16838"/>
      <w:pgMar w:left="1701" w:right="850" w:gutter="0" w:header="709" w:top="766" w:footer="0" w:bottom="70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Open Sans">
    <w:charset w:val="01"/>
    <w:family w:val="roman"/>
    <w:pitch w:val="variable"/>
  </w:font>
  <w:font w:name="Courier New">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264358"/>
    </w:sdtPr>
    <w:sdtContent>
      <w:p>
        <w:pPr>
          <w:pStyle w:val="Header"/>
          <w:jc w:val="center"/>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5</w:t>
        </w:r>
        <w:r>
          <w:rPr>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2">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hd w:val="nil" w:color="auto" w:fill="FFFFFF"/>
      <w:suppressAutoHyphens w:val="true"/>
      <w:bidi w:val="0"/>
      <w:spacing w:lineRule="auto" w:line="276" w:beforeAutospacing="0" w:before="0" w:afterAutospacing="0" w:after="200"/>
      <w:ind w:hanging="0" w:left="0" w:right="0"/>
      <w:jc w:val="left"/>
    </w:pPr>
    <w:rPr>
      <w:rFonts w:ascii="Calibri" w:hAnsi="Calibri" w:eastAsia="Calibri" w:cs="Calibri"/>
      <w:color w:val="000000"/>
      <w:spacing w:val="0"/>
      <w:kern w:val="0"/>
      <w:sz w:val="22"/>
      <w:szCs w:val="22"/>
      <w:shd w:fill="FFFFFF" w:val="clear"/>
      <w:lang w:val="ru-RU" w:eastAsia="en-US" w:bidi="ar-SA"/>
    </w:rPr>
  </w:style>
  <w:style w:type="paragraph" w:styleId="Heading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uiPriority w:val="99"/>
    <w:qFormat/>
    <w:rPr>
      <w:sz w:val="18"/>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DefaultParagraphFont" w:default="1">
    <w:name w:val="Default Paragraph Font"/>
    <w:uiPriority w:val="1"/>
    <w:semiHidden/>
    <w:unhideWhenUsed/>
    <w:qFormat/>
    <w:rPr/>
  </w:style>
  <w:style w:type="character" w:styleId="Style6" w:customStyle="1">
    <w:name w:val="Текст выноски Знак"/>
    <w:basedOn w:val="DefaultParagraphFont"/>
    <w:link w:val="BalloonText"/>
    <w:uiPriority w:val="99"/>
    <w:semiHidden/>
    <w:qFormat/>
    <w:rPr>
      <w:rFonts w:ascii="Tahoma" w:hAnsi="Tahoma" w:cs="Tahoma"/>
      <w:sz w:val="16"/>
      <w:szCs w:val="16"/>
    </w:rPr>
  </w:style>
  <w:style w:type="character" w:styleId="Style7" w:customStyle="1">
    <w:name w:val="Верхний колонтитул Знак"/>
    <w:basedOn w:val="DefaultParagraphFont"/>
    <w:uiPriority w:val="99"/>
    <w:qFormat/>
    <w:rPr/>
  </w:style>
  <w:style w:type="character" w:styleId="Style8" w:customStyle="1">
    <w:name w:val="Нижний колонтитул Знак"/>
    <w:basedOn w:val="DefaultParagraphFont"/>
    <w:uiPriority w:val="99"/>
    <w:qFormat/>
    <w:rPr/>
  </w:style>
  <w:style w:type="character" w:styleId="Hyperlink">
    <w:name w:val="Hyperlink"/>
    <w:basedOn w:val="DefaultParagraphFont"/>
    <w:uiPriority w:val="99"/>
    <w:unhideWhenUsed/>
    <w:rPr>
      <w:color w:themeColor="hyperlink" w:val="0000FF"/>
      <w:u w:val="single"/>
    </w:rPr>
  </w:style>
  <w:style w:type="character" w:styleId="Style9" w:customStyle="1">
    <w:name w:val="Цветовое выделение"/>
    <w:uiPriority w:val="99"/>
    <w:qFormat/>
    <w:rPr>
      <w:b/>
      <w:bCs/>
      <w:color w:val="26282F"/>
    </w:rPr>
  </w:style>
  <w:style w:type="character" w:styleId="Style10" w:customStyle="1">
    <w:name w:val="Гипертекстовая ссылка"/>
    <w:basedOn w:val="Style9"/>
    <w:uiPriority w:val="99"/>
    <w:qFormat/>
    <w:rPr>
      <w:b/>
      <w:bCs/>
      <w:color w:val="106BBE"/>
    </w:rPr>
  </w:style>
  <w:style w:type="paragraph" w:styleId="Style11">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pacing w:before="120" w:after="120"/>
    </w:pPr>
    <w:rPr>
      <w:rFonts w:cs="Lohit Devanagari"/>
      <w:i/>
      <w:iCs/>
      <w:sz w:val="24"/>
      <w:szCs w:val="24"/>
    </w:rPr>
  </w:style>
  <w:style w:type="paragraph" w:styleId="Style12">
    <w:name w:val="Указатель"/>
    <w:basedOn w:val="Normal"/>
    <w:qFormat/>
    <w:pPr/>
    <w:rPr>
      <w:rFonts w:cs="Lohit Devanagari"/>
    </w:rPr>
  </w:style>
  <w:style w:type="paragraph" w:styleId="NoSpacing">
    <w:name w:val="No Spacing"/>
    <w:uiPriority w:val="1"/>
    <w:qFormat/>
    <w:pPr>
      <w:widowControl/>
      <w:shd w:val="nil" w:color="auto" w:fill="FFFFFF"/>
      <w:suppressAutoHyphens w:val="true"/>
      <w:bidi w:val="0"/>
      <w:spacing w:lineRule="auto" w:line="240" w:beforeAutospacing="0" w:before="0" w:afterAutospacing="0" w:after="0"/>
      <w:ind w:hanging="0" w:left="0" w:right="0"/>
      <w:jc w:val="left"/>
    </w:pPr>
    <w:rPr>
      <w:rFonts w:ascii="Calibri" w:hAnsi="Calibri" w:eastAsia="Calibri" w:cs="Calibri"/>
      <w:color w:val="000000"/>
      <w:spacing w:val="0"/>
      <w:kern w:val="0"/>
      <w:sz w:val="22"/>
      <w:szCs w:val="22"/>
      <w:shd w:fill="FFFFFF" w:val="clear"/>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TOC1">
    <w:name w:val="TOC 1"/>
    <w:basedOn w:val="Normal"/>
    <w:next w:val="Normal"/>
    <w:uiPriority w:val="39"/>
    <w:unhideWhenUsed/>
    <w:pPr>
      <w:spacing w:before="0" w:after="57"/>
      <w:ind w:hanging="0" w:left="0" w:right="0"/>
    </w:pPr>
    <w:rPr/>
  </w:style>
  <w:style w:type="paragraph" w:styleId="TOC2">
    <w:name w:val="TOC 2"/>
    <w:basedOn w:val="Normal"/>
    <w:next w:val="Normal"/>
    <w:uiPriority w:val="39"/>
    <w:unhideWhenUsed/>
    <w:pPr>
      <w:spacing w:before="0" w:after="57"/>
      <w:ind w:hanging="0" w:left="283" w:right="0"/>
    </w:pPr>
    <w:rPr/>
  </w:style>
  <w:style w:type="paragraph" w:styleId="TOC3">
    <w:name w:val="TOC 3"/>
    <w:basedOn w:val="Normal"/>
    <w:next w:val="Normal"/>
    <w:uiPriority w:val="39"/>
    <w:unhideWhenUsed/>
    <w:pPr>
      <w:spacing w:before="0" w:after="57"/>
      <w:ind w:hanging="0" w:left="567" w:right="0"/>
    </w:pPr>
    <w:rPr/>
  </w:style>
  <w:style w:type="paragraph" w:styleId="TOC4">
    <w:name w:val="TOC 4"/>
    <w:basedOn w:val="Normal"/>
    <w:next w:val="Normal"/>
    <w:uiPriority w:val="39"/>
    <w:unhideWhenUsed/>
    <w:pPr>
      <w:spacing w:before="0" w:after="57"/>
      <w:ind w:hanging="0" w:left="850" w:right="0"/>
    </w:pPr>
    <w:rPr/>
  </w:style>
  <w:style w:type="paragraph" w:styleId="TOC5">
    <w:name w:val="TOC 5"/>
    <w:basedOn w:val="Normal"/>
    <w:next w:val="Normal"/>
    <w:uiPriority w:val="39"/>
    <w:unhideWhenUsed/>
    <w:pPr>
      <w:spacing w:before="0" w:after="57"/>
      <w:ind w:hanging="0" w:left="1134" w:right="0"/>
    </w:pPr>
    <w:rPr/>
  </w:style>
  <w:style w:type="paragraph" w:styleId="TOC6">
    <w:name w:val="TOC 6"/>
    <w:basedOn w:val="Normal"/>
    <w:next w:val="Normal"/>
    <w:uiPriority w:val="39"/>
    <w:unhideWhenUsed/>
    <w:pPr>
      <w:spacing w:before="0" w:after="57"/>
      <w:ind w:hanging="0" w:left="1417" w:right="0"/>
    </w:pPr>
    <w:rPr/>
  </w:style>
  <w:style w:type="paragraph" w:styleId="TOC7">
    <w:name w:val="TOC 7"/>
    <w:basedOn w:val="Normal"/>
    <w:next w:val="Normal"/>
    <w:uiPriority w:val="39"/>
    <w:unhideWhenUsed/>
    <w:pPr>
      <w:spacing w:before="0" w:after="57"/>
      <w:ind w:hanging="0" w:left="1701" w:right="0"/>
    </w:pPr>
    <w:rPr/>
  </w:style>
  <w:style w:type="paragraph" w:styleId="TOC8">
    <w:name w:val="TOC 8"/>
    <w:basedOn w:val="Normal"/>
    <w:next w:val="Normal"/>
    <w:uiPriority w:val="39"/>
    <w:unhideWhenUsed/>
    <w:pPr>
      <w:spacing w:before="0" w:after="57"/>
      <w:ind w:hanging="0" w:left="1984" w:right="0"/>
    </w:pPr>
    <w:rPr/>
  </w:style>
  <w:style w:type="paragraph" w:styleId="TOC9">
    <w:name w:val="TOC 9"/>
    <w:basedOn w:val="Normal"/>
    <w:next w:val="Normal"/>
    <w:uiPriority w:val="39"/>
    <w:unhideWhenUsed/>
    <w:pPr>
      <w:spacing w:before="0" w:after="57"/>
      <w:ind w:hanging="0" w:left="2268" w:right="0"/>
    </w:pPr>
    <w:rPr/>
  </w:style>
  <w:style w:type="paragraph" w:styleId="IndexHeading">
    <w:name w:val="Index Heading"/>
    <w:basedOn w:val="Style11"/>
    <w:pPr/>
    <w:rPr/>
  </w:style>
  <w:style w:type="paragraph" w:styleId="TOCHeading">
    <w:name w:val="TOC Heading"/>
    <w:uiPriority w:val="39"/>
    <w:unhideWhenUsed/>
    <w:qFormat/>
    <w:pPr>
      <w:widowControl/>
      <w:shd w:val="nil" w:color="auto" w:fill="FFFFFF"/>
      <w:suppressAutoHyphens w:val="true"/>
      <w:bidi w:val="0"/>
      <w:spacing w:lineRule="auto" w:line="240" w:beforeAutospacing="0" w:before="0" w:afterAutospacing="0" w:after="0"/>
      <w:ind w:hanging="0" w:left="0" w:right="0"/>
      <w:jc w:val="left"/>
    </w:pPr>
    <w:rPr>
      <w:rFonts w:ascii="Calibri" w:hAnsi="Calibri" w:eastAsia="Calibri" w:cs="Calibri"/>
      <w:color w:val="000000"/>
      <w:spacing w:val="0"/>
      <w:kern w:val="0"/>
      <w:sz w:val="22"/>
      <w:szCs w:val="22"/>
      <w:shd w:fill="FFFFFF" w:val="clear"/>
      <w:lang w:val="ru-RU" w:eastAsia="en-US" w:bidi="ar-SA"/>
    </w:rPr>
  </w:style>
  <w:style w:type="paragraph" w:styleId="ListParagraph">
    <w:name w:val="List Paragraph"/>
    <w:basedOn w:val="Normal"/>
    <w:uiPriority w:val="34"/>
    <w:qFormat/>
    <w:pPr>
      <w:spacing w:before="0" w:after="200"/>
      <w:ind w:left="720"/>
      <w:contextualSpacing/>
    </w:pPr>
    <w:rPr/>
  </w:style>
  <w:style w:type="paragraph" w:styleId="ConsPlusNonformat" w:customStyle="1">
    <w:name w:val="ConsPlusNonformat"/>
    <w:qFormat/>
    <w:pPr>
      <w:widowControl w:val="false"/>
      <w:shd w:val="nil" w:color="auto" w:fill="FFFFFF"/>
      <w:suppressAutoHyphens w:val="true"/>
      <w:bidi w:val="0"/>
      <w:spacing w:lineRule="auto" w:line="240" w:beforeAutospacing="0" w:before="0" w:afterAutospacing="0" w:after="0"/>
      <w:ind w:hanging="0" w:left="0" w:right="0"/>
      <w:jc w:val="left"/>
    </w:pPr>
    <w:rPr>
      <w:rFonts w:ascii="Courier New" w:hAnsi="Courier New" w:eastAsia="Times New Roman" w:cs="Courier New"/>
      <w:color w:val="000000"/>
      <w:spacing w:val="0"/>
      <w:kern w:val="0"/>
      <w:sz w:val="20"/>
      <w:szCs w:val="20"/>
      <w:shd w:fill="FFFFFF" w:val="clear"/>
      <w:lang w:val="ru-RU" w:eastAsia="ru-RU" w:bidi="ar-SA"/>
    </w:rPr>
  </w:style>
  <w:style w:type="paragraph" w:styleId="BalloonText">
    <w:name w:val="Balloon Text"/>
    <w:basedOn w:val="Normal"/>
    <w:link w:val="Style6"/>
    <w:uiPriority w:val="99"/>
    <w:semiHidden/>
    <w:unhideWhenUsed/>
    <w:qFormat/>
    <w:pPr>
      <w:spacing w:lineRule="auto" w:line="240" w:before="0" w:after="0"/>
    </w:pPr>
    <w:rPr>
      <w:rFonts w:ascii="Tahoma" w:hAnsi="Tahoma" w:cs="Tahoma"/>
      <w:sz w:val="16"/>
      <w:szCs w:val="16"/>
    </w:rPr>
  </w:style>
  <w:style w:type="paragraph" w:styleId="Style13">
    <w:name w:val="Колонтитул"/>
    <w:basedOn w:val="Normal"/>
    <w:qFormat/>
    <w:pPr/>
    <w:rPr/>
  </w:style>
  <w:style w:type="paragraph" w:styleId="Header">
    <w:name w:val="Header"/>
    <w:basedOn w:val="Normal"/>
    <w:link w:val="Style7"/>
    <w:uiPriority w:val="99"/>
    <w:unhideWhenUsed/>
    <w:pPr>
      <w:tabs>
        <w:tab w:val="clear" w:pos="708"/>
        <w:tab w:val="center" w:pos="4677" w:leader="none"/>
        <w:tab w:val="right" w:pos="9355" w:leader="none"/>
      </w:tabs>
      <w:spacing w:lineRule="auto" w:line="240" w:before="0" w:after="0"/>
    </w:pPr>
    <w:rPr/>
  </w:style>
  <w:style w:type="paragraph" w:styleId="Footer">
    <w:name w:val="Footer"/>
    <w:basedOn w:val="Normal"/>
    <w:link w:val="Style8"/>
    <w:uiPriority w:val="99"/>
    <w:unhideWhenUsed/>
    <w:pPr>
      <w:tabs>
        <w:tab w:val="clear" w:pos="708"/>
        <w:tab w:val="center" w:pos="4677" w:leader="none"/>
        <w:tab w:val="right" w:pos="9355" w:leader="none"/>
      </w:tabs>
      <w:spacing w:lineRule="auto" w:line="240" w:before="0" w:after="0"/>
    </w:pPr>
    <w:rPr/>
  </w:style>
  <w:style w:type="paragraph" w:styleId="Style14" w:customStyle="1">
    <w:name w:val="Таблицы (моноширинный)"/>
    <w:basedOn w:val="Normal"/>
    <w:next w:val="Normal"/>
    <w:uiPriority w:val="99"/>
    <w:qFormat/>
    <w:pPr>
      <w:widowControl w:val="false"/>
      <w:spacing w:lineRule="auto" w:line="240" w:before="0" w:after="0"/>
    </w:pPr>
    <w:rPr>
      <w:rFonts w:ascii="Courier New" w:hAnsi="Courier New" w:eastAsia="Calibri" w:cs="Courier New"/>
      <w:sz w:val="24"/>
      <w:szCs w:val="24"/>
      <w:lang w:eastAsia="ru-RU"/>
    </w:rPr>
  </w:style>
  <w:style w:type="paragraph" w:styleId="Style15">
    <w:name w:val="Содержимое таблицы"/>
    <w:basedOn w:val="Normal"/>
    <w:qFormat/>
    <w:pPr>
      <w:widowControl w:val="false"/>
    </w:pPr>
    <w:rPr/>
  </w:style>
  <w:style w:type="paragraph" w:styleId="Style16">
    <w:name w:val="Заголовок таблицы"/>
    <w:basedOn w:val="Style15"/>
    <w:qFormat/>
    <w:pPr>
      <w:jc w:val="center"/>
    </w:pPr>
    <w:rPr>
      <w:b/>
      <w:bCs/>
    </w:rPr>
  </w:style>
  <w:style w:type="numbering" w:styleId="NoList" w:default="1">
    <w:name w:val="No List"/>
    <w:uiPriority w:val="99"/>
    <w:semiHidden/>
    <w:unhideWhenUsed/>
    <w:qFormat/>
  </w:style>
  <w:style w:type="table" w:styleId="45">
    <w:name w:val="Lined"/>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F2F2"/>
      </w:tcPr>
    </w:tblStylePr>
    <w:tblStylePr w:type="band2Vert">
      <w:rPr>
        <w:sz w:val="22"/>
      </w:rPr>
      <w:tblPr/>
      <w:tcPr>
        <w:shd w:val="clear" w:color="auto" w:fill="F2F2F2"/>
      </w:tcPr>
    </w:tblStylePr>
    <w:tblStylePr w:type="firstCol">
      <w:rPr>
        <w:sz w:val="22"/>
      </w:rPr>
      <w:tblPr/>
      <w:tcPr>
        <w:shd w:val="clear" w:color="auto" w:fill="7F7F7F"/>
      </w:tcPr>
    </w:tblStylePr>
    <w:tblStylePr w:type="firstRow">
      <w:rPr>
        <w:sz w:val="22"/>
      </w:rPr>
      <w:tblPr/>
      <w:tcPr>
        <w:shd w:val="clear" w:color="auto" w:fill="7F7F7F"/>
      </w:tcPr>
    </w:tblStylePr>
    <w:tblStylePr w:type="lastCol">
      <w:rPr>
        <w:sz w:val="22"/>
      </w:rPr>
      <w:tblPr/>
      <w:tcPr>
        <w:shd w:val="clear" w:color="auto" w:fill="7F7F7F"/>
      </w:tcPr>
    </w:tblStylePr>
    <w:tblStylePr w:type="lastRow">
      <w:rPr>
        <w:sz w:val="22"/>
      </w:rPr>
      <w:tblPr/>
      <w:tcPr>
        <w:shd w:val="clear" w:color="auto" w:fill="7F7F7F"/>
      </w:tcPr>
    </w:tblStylePr>
  </w:style>
  <w:style w:type="table" w:styleId="46">
    <w:name w:val="Lined - Accent 1"/>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C6D9F1"/>
      </w:tcPr>
    </w:tblStylePr>
    <w:tblStylePr w:type="band2Vert">
      <w:rPr>
        <w:sz w:val="22"/>
      </w:rPr>
      <w:tblPr/>
      <w:tcPr>
        <w:shd w:val="clear" w:color="auto" w:fill="C6D9F1"/>
      </w:tcPr>
    </w:tblStylePr>
    <w:tblStylePr w:type="firstCol">
      <w:rPr>
        <w:sz w:val="22"/>
      </w:rPr>
      <w:tblPr/>
      <w:tcPr>
        <w:shd w:val="clear" w:color="auto" w:fill="548DD4"/>
      </w:tcPr>
    </w:tblStylePr>
    <w:tblStylePr w:type="firstRow">
      <w:rPr>
        <w:sz w:val="22"/>
      </w:rPr>
      <w:tblPr/>
      <w:tcPr>
        <w:shd w:val="clear" w:color="auto" w:fill="548DD4"/>
      </w:tcPr>
    </w:tblStylePr>
    <w:tblStylePr w:type="lastCol">
      <w:rPr>
        <w:sz w:val="22"/>
      </w:rPr>
      <w:tblPr/>
      <w:tcPr>
        <w:shd w:val="clear" w:color="auto" w:fill="548DD4"/>
      </w:tcPr>
    </w:tblStylePr>
    <w:tblStylePr w:type="lastRow">
      <w:rPr>
        <w:sz w:val="22"/>
      </w:rPr>
      <w:tblPr/>
      <w:tcPr>
        <w:shd w:val="clear" w:color="auto" w:fill="548DD4"/>
      </w:tcPr>
    </w:tblStylePr>
  </w:style>
  <w:style w:type="table" w:styleId="47">
    <w:name w:val="Lined - Accent 2"/>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DBDB"/>
      </w:tcPr>
    </w:tblStylePr>
    <w:tblStylePr w:type="band2Vert">
      <w:rPr>
        <w:sz w:val="22"/>
      </w:rPr>
      <w:tblPr/>
      <w:tcPr>
        <w:shd w:val="clear" w:color="auto" w:fill="F2DBDB"/>
      </w:tcPr>
    </w:tblStylePr>
    <w:tblStylePr w:type="firstCol">
      <w:rPr>
        <w:sz w:val="22"/>
      </w:rPr>
      <w:tblPr/>
      <w:tcPr>
        <w:shd w:val="clear" w:color="auto" w:fill="D99594"/>
      </w:tcPr>
    </w:tblStylePr>
    <w:tblStylePr w:type="firstRow">
      <w:rPr>
        <w:sz w:val="22"/>
      </w:rPr>
      <w:tblPr/>
      <w:tcPr>
        <w:shd w:val="clear" w:color="auto" w:fill="D99594"/>
      </w:tcPr>
    </w:tblStylePr>
    <w:tblStylePr w:type="lastCol">
      <w:rPr>
        <w:sz w:val="22"/>
      </w:rPr>
      <w:tblPr/>
      <w:tcPr>
        <w:shd w:val="clear" w:color="auto" w:fill="D99594"/>
      </w:tcPr>
    </w:tblStylePr>
    <w:tblStylePr w:type="lastRow">
      <w:rPr>
        <w:sz w:val="22"/>
      </w:rPr>
      <w:tblPr/>
      <w:tcPr>
        <w:shd w:val="clear" w:color="auto" w:fill="D99594"/>
      </w:tcPr>
    </w:tblStylePr>
  </w:style>
  <w:style w:type="table" w:styleId="48">
    <w:name w:val="Lined - Accent 3"/>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AF1DD"/>
      </w:tcPr>
    </w:tblStylePr>
    <w:tblStylePr w:type="band2Vert">
      <w:rPr>
        <w:sz w:val="22"/>
      </w:rPr>
      <w:tblPr/>
      <w:tcPr>
        <w:shd w:val="clear" w:color="auto" w:fill="EAF1DD"/>
      </w:tcPr>
    </w:tblStylePr>
    <w:tblStylePr w:type="firstCol">
      <w:rPr>
        <w:sz w:val="22"/>
      </w:rPr>
      <w:tblPr/>
      <w:tcPr>
        <w:shd w:val="clear" w:color="auto" w:fill="9BB559"/>
      </w:tcPr>
    </w:tblStylePr>
    <w:tblStylePr w:type="firstRow">
      <w:rPr>
        <w:sz w:val="22"/>
      </w:rPr>
      <w:tblPr/>
      <w:tcPr>
        <w:shd w:val="clear" w:color="auto" w:fill="9BB559"/>
      </w:tcPr>
    </w:tblStylePr>
    <w:tblStylePr w:type="lastCol">
      <w:rPr>
        <w:sz w:val="22"/>
      </w:rPr>
      <w:tblPr/>
      <w:tcPr>
        <w:shd w:val="clear" w:color="auto" w:fill="9BB559"/>
      </w:tcPr>
    </w:tblStylePr>
    <w:tblStylePr w:type="lastRow">
      <w:rPr>
        <w:sz w:val="22"/>
      </w:rPr>
      <w:tblPr/>
      <w:tcPr>
        <w:shd w:val="clear" w:color="auto" w:fill="9BB559"/>
      </w:tcPr>
    </w:tblStylePr>
  </w:style>
  <w:style w:type="table" w:styleId="49">
    <w:name w:val="Lined - Accent 4"/>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5DFEC"/>
      </w:tcPr>
    </w:tblStylePr>
    <w:tblStylePr w:type="band2Vert">
      <w:rPr>
        <w:sz w:val="22"/>
      </w:rPr>
      <w:tblPr/>
      <w:tcPr>
        <w:shd w:val="clear" w:color="auto" w:fill="E5DFEC"/>
      </w:tcPr>
    </w:tblStylePr>
    <w:tblStylePr w:type="firstCol">
      <w:rPr>
        <w:sz w:val="22"/>
      </w:rPr>
      <w:tblPr/>
      <w:tcPr>
        <w:shd w:val="clear" w:color="auto" w:fill="B2A1C7"/>
      </w:tcPr>
    </w:tblStylePr>
    <w:tblStylePr w:type="firstRow">
      <w:rPr>
        <w:sz w:val="22"/>
      </w:rPr>
      <w:tblPr/>
      <w:tcPr>
        <w:shd w:val="clear" w:color="auto" w:fill="B2A1C7"/>
      </w:tcPr>
    </w:tblStylePr>
    <w:tblStylePr w:type="lastCol">
      <w:rPr>
        <w:sz w:val="22"/>
      </w:rPr>
      <w:tblPr/>
      <w:tcPr>
        <w:shd w:val="clear" w:color="auto" w:fill="B2A1C7"/>
      </w:tcPr>
    </w:tblStylePr>
    <w:tblStylePr w:type="lastRow">
      <w:rPr>
        <w:sz w:val="22"/>
      </w:rPr>
      <w:tblPr/>
      <w:tcPr>
        <w:shd w:val="clear" w:color="auto" w:fill="B2A1C7"/>
      </w:tcPr>
    </w:tblStylePr>
  </w:style>
  <w:style w:type="table" w:styleId="50">
    <w:name w:val="Lined - Accent 5"/>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DAEEF3"/>
      </w:tcPr>
    </w:tblStylePr>
    <w:tblStylePr w:type="band2Vert">
      <w:rPr>
        <w:sz w:val="22"/>
      </w:rPr>
      <w:tblPr/>
      <w:tcPr>
        <w:shd w:val="clear" w:color="auto" w:fill="DAEEF3"/>
      </w:tcPr>
    </w:tblStylePr>
    <w:tblStylePr w:type="firstCol">
      <w:rPr>
        <w:sz w:val="22"/>
      </w:rPr>
      <w:tblPr/>
      <w:tcPr>
        <w:shd w:val="clear" w:color="auto" w:fill="4BACC6"/>
      </w:tcPr>
    </w:tblStylePr>
    <w:tblStylePr w:type="firstRow">
      <w:rPr>
        <w:sz w:val="22"/>
      </w:rPr>
      <w:tblPr/>
      <w:tcPr>
        <w:shd w:val="clear" w:color="auto" w:fill="4BACC6"/>
      </w:tcPr>
    </w:tblStylePr>
    <w:tblStylePr w:type="lastCol">
      <w:rPr>
        <w:sz w:val="22"/>
      </w:rPr>
      <w:tblPr/>
      <w:tcPr>
        <w:shd w:val="clear" w:color="auto" w:fill="4BACC6"/>
      </w:tcPr>
    </w:tblStylePr>
    <w:tblStylePr w:type="lastRow">
      <w:rPr>
        <w:sz w:val="22"/>
      </w:rPr>
      <w:tblPr/>
      <w:tcPr>
        <w:shd w:val="clear" w:color="auto" w:fill="4BACC6"/>
      </w:tcPr>
    </w:tblStylePr>
  </w:style>
  <w:style w:type="table" w:styleId="51">
    <w:name w:val="Lined - Accent 6"/>
    <w:basedOn w:val="191"/>
    <w:uiPriority w:val="99"/>
    <w:pPr>
      <w:spacing w:after="0" w:line="240" w:lineRule="auto"/>
    </w:p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DE9D9"/>
      </w:tcPr>
    </w:tblStylePr>
    <w:tblStylePr w:type="band2Vert">
      <w:rPr>
        <w:sz w:val="22"/>
      </w:rPr>
      <w:tblPr/>
      <w:tcPr>
        <w:shd w:val="clear" w:color="auto" w:fill="FDE9D9"/>
      </w:tcPr>
    </w:tblStylePr>
    <w:tblStylePr w:type="firstCol">
      <w:rPr>
        <w:sz w:val="22"/>
      </w:rPr>
      <w:tblPr/>
      <w:tcPr>
        <w:shd w:val="clear" w:color="auto" w:fill="F79646"/>
      </w:tcPr>
    </w:tblStylePr>
    <w:tblStylePr w:type="firstRow">
      <w:rPr>
        <w:sz w:val="22"/>
      </w:rPr>
      <w:tblPr/>
      <w:tcPr>
        <w:shd w:val="clear" w:color="auto" w:fill="F79646"/>
      </w:tcPr>
    </w:tblStylePr>
    <w:tblStylePr w:type="lastCol">
      <w:rPr>
        <w:sz w:val="22"/>
      </w:rPr>
      <w:tblPr/>
      <w:tcPr>
        <w:shd w:val="clear" w:color="auto" w:fill="F79646"/>
      </w:tcPr>
    </w:tblStylePr>
    <w:tblStylePr w:type="lastRow">
      <w:rPr>
        <w:sz w:val="22"/>
      </w:rPr>
      <w:tblPr/>
      <w:tcPr>
        <w:shd w:val="clear" w:color="auto" w:fill="F79646"/>
      </w:tcPr>
    </w:tblStylePr>
  </w:style>
  <w:style w:type="table" w:styleId="52">
    <w:name w:val="Bordered"/>
    <w:basedOn w:val="191"/>
    <w:uiPriority w:val="99"/>
    <w:pPr>
      <w:spacing w:after="0" w:line="240" w:lineRule="auto"/>
    </w:pPr>
    <w:tblPr>
      <w:tblStyleRowBandSize w:val="1"/>
      <w:tblStyleColBandSize w:val="1"/>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sz w:val="22"/>
      </w:rPr>
      <w:tblPr/>
      <w:tcPr>
        <w:tcBorders>
          <w:left w:val="single" w:color="D9D9D9" w:sz="4" w:space="0"/>
          <w:top w:val="single" w:color="D9D9D9" w:sz="4" w:space="0"/>
          <w:right w:val="single" w:color="D9D9D9" w:sz="4" w:space="0"/>
          <w:bottom w:val="single" w:color="D9D9D9" w:sz="4" w:space="0"/>
        </w:tcBorders>
      </w:tcPr>
    </w:tblStylePr>
    <w:tblStylePr w:type="firstCol">
      <w:rPr>
        <w:sz w:val="22"/>
      </w:rPr>
      <w:tblPr/>
      <w:tcPr>
        <w:tcBorders>
          <w:right w:val="single" w:color="7F7F7F" w:sz="12" w:space="0"/>
        </w:tcBorders>
      </w:tcPr>
    </w:tblStylePr>
    <w:tblStylePr w:type="firstRow">
      <w:rPr>
        <w:sz w:val="22"/>
      </w:rPr>
      <w:tblPr/>
      <w:tcPr>
        <w:tcBorders>
          <w:bottom w:val="single" w:color="7F7F7F" w:sz="12" w:space="0"/>
        </w:tcBorders>
      </w:tcPr>
    </w:tblStylePr>
    <w:tblStylePr w:type="lastCol">
      <w:rPr>
        <w:sz w:val="22"/>
      </w:rPr>
      <w:tblPr/>
      <w:tcPr>
        <w:tcBorders>
          <w:left w:val="single" w:color="7F7F7F" w:sz="12" w:space="0"/>
        </w:tcBorders>
      </w:tcPr>
    </w:tblStylePr>
    <w:tblStylePr w:type="lastRow">
      <w:rPr>
        <w:sz w:val="22"/>
      </w:rPr>
      <w:tblPr/>
      <w:tcPr>
        <w:tcBorders>
          <w:top w:val="single" w:color="7F7F7F" w:sz="12" w:space="0"/>
        </w:tcBorders>
      </w:tcPr>
    </w:tblStylePr>
  </w:style>
  <w:style w:type="table" w:styleId="53">
    <w:name w:val="Bordered - Accent 1"/>
    <w:basedOn w:val="191"/>
    <w:uiPriority w:val="99"/>
    <w:pPr>
      <w:spacing w:after="0" w:line="240" w:lineRule="auto"/>
    </w:pPr>
    <w:tblPr>
      <w:tblStyleRowBandSize w:val="1"/>
      <w:tblStyleColBandSize w:val="1"/>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sz w:val="22"/>
      </w:rPr>
      <w:tblPr/>
      <w:tcPr>
        <w:tcBorders>
          <w:left w:val="single" w:color="B8CCE4" w:sz="4" w:space="0"/>
          <w:top w:val="single" w:color="B8CCE4" w:sz="4" w:space="0"/>
          <w:right w:val="single" w:color="B8CCE4" w:sz="4" w:space="0"/>
          <w:bottom w:val="single" w:color="B8CCE4" w:sz="4" w:space="0"/>
        </w:tcBorders>
      </w:tcPr>
    </w:tblStylePr>
    <w:tblStylePr w:type="firstCol">
      <w:rPr>
        <w:sz w:val="22"/>
      </w:rPr>
      <w:tblPr/>
      <w:tcPr>
        <w:tcBorders>
          <w:right w:val="single" w:color="4F81BD" w:sz="12" w:space="0"/>
        </w:tcBorders>
      </w:tcPr>
    </w:tblStylePr>
    <w:tblStylePr w:type="firstRow">
      <w:rPr>
        <w:sz w:val="22"/>
      </w:rPr>
      <w:tblPr/>
      <w:tcPr>
        <w:tcBorders>
          <w:bottom w:val="single" w:color="4F81BD" w:sz="12" w:space="0"/>
        </w:tcBorders>
      </w:tcPr>
    </w:tblStylePr>
    <w:tblStylePr w:type="lastCol">
      <w:rPr>
        <w:sz w:val="22"/>
      </w:rPr>
      <w:tblPr/>
      <w:tcPr>
        <w:tcBorders>
          <w:left w:val="single" w:color="4F81BD" w:sz="12" w:space="0"/>
        </w:tcBorders>
      </w:tcPr>
    </w:tblStylePr>
    <w:tblStylePr w:type="lastRow">
      <w:rPr>
        <w:sz w:val="22"/>
      </w:rPr>
      <w:tblPr/>
      <w:tcPr>
        <w:tcBorders>
          <w:top w:val="single" w:color="4F81BD" w:sz="12" w:space="0"/>
        </w:tcBorders>
      </w:tcPr>
    </w:tblStylePr>
  </w:style>
  <w:style w:type="table" w:styleId="54">
    <w:name w:val="Bordered - Accent 2"/>
    <w:basedOn w:val="191"/>
    <w:uiPriority w:val="99"/>
    <w:pPr>
      <w:spacing w:after="0" w:line="240" w:lineRule="auto"/>
    </w:pPr>
    <w:tblPr>
      <w:tblStyleRowBandSize w:val="1"/>
      <w:tblStyleColBandSize w:val="1"/>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sz w:val="22"/>
      </w:rPr>
      <w:tblPr/>
      <w:tcPr>
        <w:tcBorders>
          <w:left w:val="single" w:color="E5B8B7" w:sz="4" w:space="0"/>
          <w:top w:val="single" w:color="E5B8B7" w:sz="4" w:space="0"/>
          <w:right w:val="single" w:color="E5B8B7" w:sz="4" w:space="0"/>
          <w:bottom w:val="single" w:color="E5B8B7" w:sz="4" w:space="0"/>
        </w:tcBorders>
      </w:tcPr>
    </w:tblStylePr>
    <w:tblStylePr w:type="firstCol">
      <w:rPr>
        <w:sz w:val="22"/>
      </w:rPr>
      <w:tblPr/>
      <w:tcPr>
        <w:tcBorders>
          <w:right w:val="single" w:color="D99594" w:sz="12" w:space="0"/>
        </w:tcBorders>
      </w:tcPr>
    </w:tblStylePr>
    <w:tblStylePr w:type="firstRow">
      <w:rPr>
        <w:sz w:val="22"/>
      </w:rPr>
      <w:tblPr/>
      <w:tcPr>
        <w:tcBorders>
          <w:bottom w:val="single" w:color="D99594" w:sz="12" w:space="0"/>
        </w:tcBorders>
      </w:tcPr>
    </w:tblStylePr>
    <w:tblStylePr w:type="lastCol">
      <w:rPr>
        <w:sz w:val="22"/>
      </w:rPr>
      <w:tblPr/>
      <w:tcPr>
        <w:tcBorders>
          <w:left w:val="single" w:color="D99594" w:sz="12" w:space="0"/>
        </w:tcBorders>
      </w:tcPr>
    </w:tblStylePr>
    <w:tblStylePr w:type="lastRow">
      <w:rPr>
        <w:sz w:val="22"/>
      </w:rPr>
      <w:tblPr/>
      <w:tcPr>
        <w:tcBorders>
          <w:top w:val="single" w:color="D99594" w:sz="12" w:space="0"/>
        </w:tcBorders>
      </w:tcPr>
    </w:tblStylePr>
  </w:style>
  <w:style w:type="table" w:styleId="55">
    <w:name w:val="Bordered - Accent 3"/>
    <w:basedOn w:val="191"/>
    <w:uiPriority w:val="99"/>
    <w:pPr>
      <w:spacing w:after="0" w:line="240" w:lineRule="auto"/>
    </w:pPr>
    <w:tblPr>
      <w:tblStyleRowBandSize w:val="1"/>
      <w:tblStyleColBandSize w:val="1"/>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sz w:val="22"/>
      </w:rPr>
      <w:tblPr/>
      <w:tcPr>
        <w:tcBorders>
          <w:left w:val="single" w:color="D6E3BC" w:sz="4" w:space="0"/>
          <w:top w:val="single" w:color="D6E3BC" w:sz="4" w:space="0"/>
          <w:right w:val="single" w:color="D6E3BC" w:sz="4" w:space="0"/>
          <w:bottom w:val="single" w:color="D6E3BC" w:sz="4" w:space="0"/>
        </w:tcBorders>
      </w:tcPr>
    </w:tblStylePr>
    <w:tblStylePr w:type="firstCol">
      <w:rPr>
        <w:sz w:val="22"/>
      </w:rPr>
      <w:tblPr/>
      <w:tcPr>
        <w:tcBorders>
          <w:right w:val="single" w:color="C2D69B" w:sz="12" w:space="0"/>
        </w:tcBorders>
      </w:tcPr>
    </w:tblStylePr>
    <w:tblStylePr w:type="firstRow">
      <w:rPr>
        <w:sz w:val="22"/>
      </w:rPr>
      <w:tblPr/>
      <w:tcPr>
        <w:tcBorders>
          <w:bottom w:val="single" w:color="C2D69B" w:sz="12" w:space="0"/>
        </w:tcBorders>
      </w:tcPr>
    </w:tblStylePr>
    <w:tblStylePr w:type="lastCol">
      <w:rPr>
        <w:sz w:val="22"/>
      </w:rPr>
      <w:tblPr/>
      <w:tcPr>
        <w:tcBorders>
          <w:left w:val="single" w:color="C2D69B" w:sz="12" w:space="0"/>
        </w:tcBorders>
      </w:tcPr>
    </w:tblStylePr>
    <w:tblStylePr w:type="lastRow">
      <w:rPr>
        <w:sz w:val="22"/>
      </w:rPr>
      <w:tblPr/>
      <w:tcPr>
        <w:tcBorders>
          <w:top w:val="single" w:color="C2D69B" w:sz="12" w:space="0"/>
        </w:tcBorders>
      </w:tcPr>
    </w:tblStylePr>
  </w:style>
  <w:style w:type="table" w:styleId="56">
    <w:name w:val="Bordered - Accent 4"/>
    <w:basedOn w:val="191"/>
    <w:uiPriority w:val="99"/>
    <w:pPr>
      <w:spacing w:after="0" w:line="240" w:lineRule="auto"/>
    </w:pPr>
    <w:tblPr>
      <w:tblStyleRowBandSize w:val="1"/>
      <w:tblStyleColBandSize w:val="1"/>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sz w:val="22"/>
      </w:rPr>
      <w:tblPr/>
      <w:tcPr>
        <w:tcBorders>
          <w:left w:val="single" w:color="CCC0D9" w:sz="4" w:space="0"/>
          <w:top w:val="single" w:color="CCC0D9" w:sz="4" w:space="0"/>
          <w:right w:val="single" w:color="CCC0D9" w:sz="4" w:space="0"/>
          <w:bottom w:val="single" w:color="CCC0D9" w:sz="4" w:space="0"/>
        </w:tcBorders>
      </w:tcPr>
    </w:tblStylePr>
    <w:tblStylePr w:type="firstCol">
      <w:rPr>
        <w:sz w:val="22"/>
      </w:rPr>
      <w:tblPr/>
      <w:tcPr>
        <w:tcBorders>
          <w:right w:val="single" w:color="B2A1C7" w:sz="12" w:space="0"/>
        </w:tcBorders>
      </w:tcPr>
    </w:tblStylePr>
    <w:tblStylePr w:type="firstRow">
      <w:rPr>
        <w:sz w:val="22"/>
      </w:rPr>
      <w:tblPr/>
      <w:tcPr>
        <w:tcBorders>
          <w:bottom w:val="single" w:color="B2A1C7" w:sz="12" w:space="0"/>
        </w:tcBorders>
      </w:tcPr>
    </w:tblStylePr>
    <w:tblStylePr w:type="lastCol">
      <w:rPr>
        <w:sz w:val="22"/>
      </w:rPr>
      <w:tblPr/>
      <w:tcPr>
        <w:tcBorders>
          <w:left w:val="single" w:color="B2A1C7" w:sz="12" w:space="0"/>
        </w:tcBorders>
      </w:tcPr>
    </w:tblStylePr>
    <w:tblStylePr w:type="lastRow">
      <w:rPr>
        <w:sz w:val="22"/>
      </w:rPr>
      <w:tblPr/>
      <w:tcPr>
        <w:tcBorders>
          <w:top w:val="single" w:color="B2A1C7" w:sz="12" w:space="0"/>
        </w:tcBorders>
      </w:tcPr>
    </w:tblStylePr>
  </w:style>
  <w:style w:type="table" w:styleId="57">
    <w:name w:val="Bordered - Accent 5"/>
    <w:basedOn w:val="191"/>
    <w:uiPriority w:val="99"/>
    <w:pPr>
      <w:spacing w:after="0" w:line="240" w:lineRule="auto"/>
    </w:pPr>
    <w:tblPr>
      <w:tblStyleRowBandSize w:val="1"/>
      <w:tblStyleColBandSize w:val="1"/>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sz w:val="22"/>
      </w:rPr>
      <w:tblPr/>
      <w:tcPr>
        <w:tcBorders>
          <w:left w:val="single" w:color="B6DDE8" w:sz="4" w:space="0"/>
          <w:top w:val="single" w:color="B6DDE8" w:sz="4" w:space="0"/>
          <w:right w:val="single" w:color="B6DDE8" w:sz="4" w:space="0"/>
          <w:bottom w:val="single" w:color="B6DDE8" w:sz="4" w:space="0"/>
        </w:tcBorders>
      </w:tcPr>
    </w:tblStylePr>
    <w:tblStylePr w:type="firstCol">
      <w:rPr>
        <w:sz w:val="22"/>
      </w:rPr>
      <w:tblPr/>
      <w:tcPr>
        <w:tcBorders>
          <w:right w:val="single" w:color="92CDDC" w:sz="12" w:space="0"/>
        </w:tcBorders>
      </w:tcPr>
    </w:tblStylePr>
    <w:tblStylePr w:type="firstRow">
      <w:rPr>
        <w:sz w:val="22"/>
      </w:rPr>
      <w:tblPr/>
      <w:tcPr>
        <w:tcBorders>
          <w:bottom w:val="single" w:color="92CDDC" w:sz="12" w:space="0"/>
        </w:tcBorders>
      </w:tcPr>
    </w:tblStylePr>
    <w:tblStylePr w:type="lastCol">
      <w:rPr>
        <w:sz w:val="22"/>
      </w:rPr>
      <w:tblPr/>
      <w:tcPr>
        <w:tcBorders>
          <w:left w:val="single" w:color="92CDDC" w:sz="12" w:space="0"/>
        </w:tcBorders>
      </w:tcPr>
    </w:tblStylePr>
    <w:tblStylePr w:type="lastRow">
      <w:rPr>
        <w:sz w:val="22"/>
      </w:rPr>
      <w:tblPr/>
      <w:tcPr>
        <w:tcBorders>
          <w:top w:val="single" w:color="92CDDC" w:sz="12" w:space="0"/>
        </w:tcBorders>
      </w:tcPr>
    </w:tblStylePr>
  </w:style>
  <w:style w:type="table" w:styleId="58">
    <w:name w:val="Bordered - Accent 6"/>
    <w:basedOn w:val="191"/>
    <w:uiPriority w:val="99"/>
    <w:pPr>
      <w:spacing w:after="0" w:line="240" w:lineRule="auto"/>
    </w:pPr>
    <w:tblPr>
      <w:tblStyleRowBandSize w:val="1"/>
      <w:tblStyleColBandSize w:val="1"/>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sz w:val="22"/>
      </w:rPr>
      <w:tblPr/>
      <w:tcPr>
        <w:tcBorders>
          <w:left w:val="single" w:color="FBD4B4" w:sz="4" w:space="0"/>
          <w:top w:val="single" w:color="FBD4B4" w:sz="4" w:space="0"/>
          <w:right w:val="single" w:color="FBD4B4" w:sz="4" w:space="0"/>
          <w:bottom w:val="single" w:color="FBD4B4" w:sz="4" w:space="0"/>
        </w:tcBorders>
      </w:tcPr>
    </w:tblStylePr>
    <w:tblStylePr w:type="firstCol">
      <w:rPr>
        <w:sz w:val="22"/>
      </w:rPr>
      <w:tblPr/>
      <w:tcPr>
        <w:tcBorders>
          <w:right w:val="single" w:color="FABF8F" w:sz="12" w:space="0"/>
        </w:tcBorders>
      </w:tcPr>
    </w:tblStylePr>
    <w:tblStylePr w:type="firstRow">
      <w:rPr>
        <w:sz w:val="22"/>
      </w:rPr>
      <w:tblPr/>
      <w:tcPr>
        <w:tcBorders>
          <w:bottom w:val="single" w:color="FABF8F" w:sz="12" w:space="0"/>
        </w:tcBorders>
      </w:tcPr>
    </w:tblStylePr>
    <w:tblStylePr w:type="lastCol">
      <w:rPr>
        <w:sz w:val="22"/>
      </w:rPr>
      <w:tblPr/>
      <w:tcPr>
        <w:tcBorders>
          <w:left w:val="single" w:color="FABF8F" w:sz="12" w:space="0"/>
        </w:tcBorders>
      </w:tcPr>
    </w:tblStylePr>
    <w:tblStylePr w:type="lastRow">
      <w:rPr>
        <w:sz w:val="22"/>
      </w:rPr>
      <w:tblPr/>
      <w:tcPr>
        <w:tcBorders>
          <w:top w:val="single" w:color="FABF8F" w:sz="12" w:space="0"/>
        </w:tcBorders>
      </w:tcPr>
    </w:tblStylePr>
  </w:style>
  <w:style w:type="table" w:styleId="59">
    <w:name w:val="Bordered &amp; Lined"/>
    <w:basedOn w:val="191"/>
    <w:uiPriority w:val="99"/>
    <w:pPr>
      <w:spacing w:after="0" w:line="240" w:lineRule="auto"/>
    </w:pPr>
    <w:tblPr>
      <w:tblStyleRowBandSize w:val="1"/>
      <w:tblStyleColBandSize w:val="1"/>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F2F2"/>
      </w:tcPr>
    </w:tblStylePr>
    <w:tblStylePr w:type="band2Vert">
      <w:rPr>
        <w:sz w:val="22"/>
      </w:rPr>
      <w:tblPr/>
      <w:tcPr>
        <w:shd w:val="clear" w:color="auto" w:fill="D9D9D9"/>
      </w:tcPr>
    </w:tblStylePr>
    <w:tblStylePr w:type="firstCol">
      <w:rPr>
        <w:sz w:val="22"/>
      </w:rPr>
      <w:tblPr/>
      <w:tcPr>
        <w:shd w:val="clear" w:color="auto" w:fill="7F7F7F"/>
      </w:tcPr>
    </w:tblStylePr>
    <w:tblStylePr w:type="firstRow">
      <w:rPr>
        <w:sz w:val="22"/>
      </w:rPr>
      <w:tblPr/>
      <w:tcPr>
        <w:shd w:val="clear" w:color="auto" w:fill="7F7F7F"/>
      </w:tcPr>
    </w:tblStylePr>
    <w:tblStylePr w:type="lastCol">
      <w:rPr>
        <w:sz w:val="22"/>
      </w:rPr>
      <w:tblPr/>
      <w:tcPr>
        <w:shd w:val="clear" w:color="auto" w:fill="7F7F7F"/>
      </w:tcPr>
    </w:tblStylePr>
    <w:tblStylePr w:type="lastRow">
      <w:rPr>
        <w:sz w:val="22"/>
      </w:rPr>
      <w:tblPr/>
      <w:tcPr>
        <w:shd w:val="clear" w:color="auto" w:fill="7F7F7F"/>
      </w:tcPr>
    </w:tblStylePr>
  </w:style>
  <w:style w:type="table" w:styleId="60">
    <w:name w:val="Bordered &amp; Lined - Accent 1"/>
    <w:basedOn w:val="191"/>
    <w:uiPriority w:val="99"/>
    <w:pPr>
      <w:spacing w:after="0" w:line="240" w:lineRule="auto"/>
    </w:pPr>
    <w:tblPr>
      <w:tblStyleRowBandSize w:val="1"/>
      <w:tblStyleColBandSize w:val="1"/>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C6D9F1"/>
      </w:tcPr>
    </w:tblStylePr>
    <w:tblStylePr w:type="band2Vert">
      <w:rPr>
        <w:sz w:val="22"/>
      </w:rPr>
      <w:tblPr/>
      <w:tcPr>
        <w:shd w:val="clear" w:color="auto" w:fill="C6D9F1"/>
      </w:tcPr>
    </w:tblStylePr>
    <w:tblStylePr w:type="firstCol">
      <w:rPr>
        <w:sz w:val="22"/>
      </w:rPr>
      <w:tblPr/>
      <w:tcPr>
        <w:shd w:val="clear" w:color="auto" w:fill="548DD4"/>
      </w:tcPr>
    </w:tblStylePr>
    <w:tblStylePr w:type="firstRow">
      <w:rPr>
        <w:sz w:val="22"/>
      </w:rPr>
      <w:tblPr/>
      <w:tcPr>
        <w:shd w:val="clear" w:color="auto" w:fill="548DD4"/>
      </w:tcPr>
    </w:tblStylePr>
    <w:tblStylePr w:type="lastCol">
      <w:rPr>
        <w:sz w:val="22"/>
      </w:rPr>
      <w:tblPr/>
      <w:tcPr>
        <w:shd w:val="clear" w:color="auto" w:fill="548DD4"/>
      </w:tcPr>
    </w:tblStylePr>
    <w:tblStylePr w:type="lastRow">
      <w:rPr>
        <w:sz w:val="22"/>
      </w:rPr>
      <w:tblPr/>
      <w:tcPr>
        <w:shd w:val="clear" w:color="auto" w:fill="548DD4"/>
      </w:tcPr>
    </w:tblStylePr>
  </w:style>
  <w:style w:type="table" w:styleId="61">
    <w:name w:val="Bordered &amp; Lined - Accent 2"/>
    <w:basedOn w:val="191"/>
    <w:uiPriority w:val="99"/>
    <w:pPr>
      <w:spacing w:after="0" w:line="240" w:lineRule="auto"/>
    </w:pPr>
    <w:tblPr>
      <w:tblStyleRowBandSize w:val="1"/>
      <w:tblStyleColBandSize w:val="1"/>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DBDB"/>
      </w:tcPr>
    </w:tblStylePr>
    <w:tblStylePr w:type="band2Vert">
      <w:rPr>
        <w:sz w:val="22"/>
      </w:rPr>
      <w:tblPr/>
      <w:tcPr>
        <w:shd w:val="clear" w:color="auto" w:fill="F2DBDB"/>
      </w:tcPr>
    </w:tblStylePr>
    <w:tblStylePr w:type="firstCol">
      <w:rPr>
        <w:sz w:val="22"/>
      </w:rPr>
      <w:tblPr/>
      <w:tcPr>
        <w:shd w:val="clear" w:color="auto" w:fill="D99594"/>
      </w:tcPr>
    </w:tblStylePr>
    <w:tblStylePr w:type="firstRow">
      <w:rPr>
        <w:sz w:val="22"/>
      </w:rPr>
      <w:tblPr/>
      <w:tcPr>
        <w:shd w:val="clear" w:color="auto" w:fill="D99594"/>
      </w:tcPr>
    </w:tblStylePr>
    <w:tblStylePr w:type="lastCol">
      <w:rPr>
        <w:sz w:val="22"/>
      </w:rPr>
      <w:tblPr/>
      <w:tcPr>
        <w:shd w:val="clear" w:color="auto" w:fill="D99594"/>
      </w:tcPr>
    </w:tblStylePr>
    <w:tblStylePr w:type="lastRow">
      <w:rPr>
        <w:sz w:val="22"/>
      </w:rPr>
      <w:tblPr/>
      <w:tcPr>
        <w:shd w:val="clear" w:color="auto" w:fill="D99594"/>
      </w:tcPr>
    </w:tblStylePr>
  </w:style>
  <w:style w:type="table" w:styleId="62">
    <w:name w:val="Bordered &amp; Lined - Accent 3"/>
    <w:basedOn w:val="191"/>
    <w:uiPriority w:val="99"/>
    <w:pPr>
      <w:spacing w:after="0" w:line="240" w:lineRule="auto"/>
    </w:pPr>
    <w:tblPr>
      <w:tblStyleRowBandSize w:val="1"/>
      <w:tblStyleColBandSize w:val="1"/>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AF1DD"/>
      </w:tcPr>
    </w:tblStylePr>
    <w:tblStylePr w:type="band2Vert">
      <w:rPr>
        <w:sz w:val="22"/>
      </w:rPr>
      <w:tblPr/>
      <w:tcPr>
        <w:shd w:val="clear" w:color="auto" w:fill="EAF1DD"/>
      </w:tcPr>
    </w:tblStylePr>
    <w:tblStylePr w:type="firstCol">
      <w:rPr>
        <w:sz w:val="22"/>
      </w:rPr>
      <w:tblPr/>
      <w:tcPr>
        <w:shd w:val="clear" w:color="auto" w:fill="9BBB59"/>
      </w:tcPr>
    </w:tblStylePr>
    <w:tblStylePr w:type="firstRow">
      <w:rPr>
        <w:sz w:val="22"/>
      </w:rPr>
      <w:tblPr/>
      <w:tcPr>
        <w:shd w:val="clear" w:color="auto" w:fill="9BBB59"/>
      </w:tcPr>
    </w:tblStylePr>
    <w:tblStylePr w:type="lastCol">
      <w:rPr>
        <w:sz w:val="22"/>
      </w:rPr>
      <w:tblPr/>
      <w:tcPr>
        <w:shd w:val="clear" w:color="auto" w:fill="9BBB59"/>
      </w:tcPr>
    </w:tblStylePr>
    <w:tblStylePr w:type="lastRow">
      <w:rPr>
        <w:sz w:val="22"/>
      </w:rPr>
      <w:tblPr/>
      <w:tcPr>
        <w:shd w:val="clear" w:color="auto" w:fill="9BBB59"/>
      </w:tcPr>
    </w:tblStylePr>
  </w:style>
  <w:style w:type="table" w:styleId="63">
    <w:name w:val="Bordered &amp; Lined - Accent 4"/>
    <w:basedOn w:val="191"/>
    <w:uiPriority w:val="99"/>
    <w:pPr>
      <w:spacing w:after="0" w:line="240" w:lineRule="auto"/>
    </w:pPr>
    <w:tblPr>
      <w:tblStyleRowBandSize w:val="1"/>
      <w:tblStyleColBandSize w:val="1"/>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5DFEC"/>
      </w:tcPr>
    </w:tblStylePr>
    <w:tblStylePr w:type="band2Vert">
      <w:rPr>
        <w:sz w:val="22"/>
      </w:rPr>
      <w:tblPr/>
      <w:tcPr>
        <w:shd w:val="clear" w:color="auto" w:fill="E5DFEC"/>
      </w:tcPr>
    </w:tblStylePr>
    <w:tblStylePr w:type="firstCol">
      <w:rPr>
        <w:sz w:val="22"/>
      </w:rPr>
      <w:tblPr/>
      <w:tcPr>
        <w:shd w:val="clear" w:color="auto" w:fill="B2A1C7"/>
      </w:tcPr>
    </w:tblStylePr>
    <w:tblStylePr w:type="firstRow">
      <w:rPr>
        <w:sz w:val="22"/>
      </w:rPr>
      <w:tblPr/>
      <w:tcPr>
        <w:shd w:val="clear" w:color="auto" w:fill="B2A1C7"/>
      </w:tcPr>
    </w:tblStylePr>
    <w:tblStylePr w:type="lastCol">
      <w:rPr>
        <w:sz w:val="22"/>
      </w:rPr>
      <w:tblPr/>
      <w:tcPr>
        <w:shd w:val="clear" w:color="auto" w:fill="B2A1C7"/>
      </w:tcPr>
    </w:tblStylePr>
    <w:tblStylePr w:type="lastRow">
      <w:rPr>
        <w:sz w:val="22"/>
      </w:rPr>
      <w:tblPr/>
      <w:tcPr>
        <w:shd w:val="clear" w:color="auto" w:fill="B2A1C7"/>
      </w:tcPr>
    </w:tblStylePr>
  </w:style>
  <w:style w:type="table" w:styleId="64">
    <w:name w:val="Bordered &amp; Lined - Accent 5"/>
    <w:basedOn w:val="191"/>
    <w:uiPriority w:val="99"/>
    <w:pPr>
      <w:spacing w:after="0" w:line="240" w:lineRule="auto"/>
    </w:pPr>
    <w:tblPr>
      <w:tblStyleRowBandSize w:val="1"/>
      <w:tblStyleColBandSize w:val="1"/>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DAEEF3"/>
      </w:tcPr>
    </w:tblStylePr>
    <w:tblStylePr w:type="band2Vert">
      <w:rPr>
        <w:sz w:val="22"/>
      </w:rPr>
      <w:tblPr/>
      <w:tcPr>
        <w:shd w:val="clear" w:color="auto" w:fill="DAEEF3"/>
      </w:tcPr>
    </w:tblStylePr>
    <w:tblStylePr w:type="firstCol">
      <w:rPr>
        <w:sz w:val="22"/>
      </w:rPr>
      <w:tblPr/>
      <w:tcPr>
        <w:shd w:val="clear" w:color="auto" w:fill="4BACC6"/>
      </w:tcPr>
    </w:tblStylePr>
    <w:tblStylePr w:type="firstRow">
      <w:rPr>
        <w:sz w:val="22"/>
      </w:rPr>
      <w:tblPr/>
      <w:tcPr>
        <w:shd w:val="clear" w:color="auto" w:fill="4BACC6"/>
      </w:tcPr>
    </w:tblStylePr>
    <w:tblStylePr w:type="lastCol">
      <w:rPr>
        <w:sz w:val="22"/>
      </w:rPr>
      <w:tblPr/>
      <w:tcPr>
        <w:shd w:val="clear" w:color="auto" w:fill="4BACC6"/>
      </w:tcPr>
    </w:tblStylePr>
    <w:tblStylePr w:type="lastRow">
      <w:rPr>
        <w:sz w:val="22"/>
      </w:rPr>
      <w:tblPr/>
      <w:tcPr>
        <w:shd w:val="clear" w:color="auto" w:fill="4BACC6"/>
      </w:tcPr>
    </w:tblStylePr>
  </w:style>
  <w:style w:type="table" w:styleId="65">
    <w:name w:val="Bordered &amp; Lined - Accent 6"/>
    <w:basedOn w:val="191"/>
    <w:uiPriority w:val="99"/>
    <w:pPr>
      <w:spacing w:after="0" w:line="240" w:lineRule="auto"/>
    </w:pPr>
    <w:tblPr>
      <w:tblStyleRowBandSize w:val="1"/>
      <w:tblStyleColBandSize w:val="1"/>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DE9D9"/>
      </w:tcPr>
    </w:tblStylePr>
    <w:tblStylePr w:type="band2Vert">
      <w:rPr>
        <w:sz w:val="22"/>
      </w:rPr>
      <w:tblPr/>
      <w:tcPr>
        <w:shd w:val="clear" w:color="auto" w:fill="FDE9D9"/>
      </w:tcPr>
    </w:tblStylePr>
    <w:tblStylePr w:type="firstCol">
      <w:rPr>
        <w:sz w:val="22"/>
      </w:rPr>
      <w:tblPr/>
      <w:tcPr>
        <w:shd w:val="clear" w:color="auto" w:fill="F79646"/>
      </w:tcPr>
    </w:tblStylePr>
    <w:tblStylePr w:type="firstRow">
      <w:rPr>
        <w:sz w:val="22"/>
      </w:rPr>
      <w:tblPr/>
      <w:tcPr>
        <w:shd w:val="clear" w:color="auto" w:fill="F79646"/>
      </w:tcPr>
    </w:tblStylePr>
    <w:tblStylePr w:type="lastCol">
      <w:rPr>
        <w:sz w:val="22"/>
      </w:rPr>
      <w:tblPr/>
      <w:tcPr>
        <w:shd w:val="clear" w:color="auto" w:fill="F79646"/>
      </w:tcPr>
    </w:tblStylePr>
    <w:tblStylePr w:type="lastRow">
      <w:rPr>
        <w:sz w:val="22"/>
      </w:rPr>
      <w:tblPr/>
      <w:tcPr>
        <w:shd w:val="clear" w:color="auto" w:fill="F79646"/>
      </w:tcPr>
    </w:tblStylePr>
  </w:style>
  <w:style w:type="table" w:default="1" w:styleId="191">
    <w:name w:val="Normal Table"/>
    <w:uiPriority w:val="99"/>
    <w:semiHidden/>
    <w:unhideWhenUsed/>
    <w:tblPr>
      <w:tblCellMar>
        <w:left w:w="108" w:type="dxa"/>
        <w:top w:w="0" w:type="dxa"/>
        <w:right w:w="108" w:type="dxa"/>
        <w:bottom w:w="0" w:type="dxa"/>
      </w:tblCellMar>
    </w:tblPr>
  </w:style>
  <w:style w:type="table" w:styleId="192">
    <w:name w:val="Table Grid"/>
    <w:basedOn w:val="191"/>
    <w:uiPriority w:val="59"/>
    <w:pPr>
      <w:spacing w:after="0" w:line="240" w:lineRule="auto"/>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org@akgo74.ru" TargetMode="External"/><Relationship Id="rId3" Type="http://schemas.openxmlformats.org/officeDocument/2006/relationships/hyperlink" Target="http://mobileonline.garant.ru/document/redirect/8766723/27"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LibreOffice/7.6.0.3$Linux_X86_64 LibreOffice_project/60$Build-3</Application>
  <AppVersion>15.0000</AppVersion>
  <Pages>5</Pages>
  <Words>1912</Words>
  <Characters>13837</Characters>
  <CharactersWithSpaces>15616</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2019-11-01T04:38:00Z</dcterms:created>
  <dc:creator>Ренхе Ирина Анатольевна</dc:creator>
  <dc:description/>
  <dc:language>ru-RU</dc:language>
  <cp:lastModifiedBy/>
  <cp:lastPrinted>2026-03-03T11:02:13Z</cp:lastPrinted>
  <dcterms:modified xsi:type="dcterms:W3CDTF">2026-03-03T11:02:17Z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