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>
        <w:rPr>
          <w:rFonts w:cs="Times New Roman" w:ascii="Times New Roman" w:hAnsi="Times New Roman"/>
          <w:sz w:val="26"/>
          <w:szCs w:val="26"/>
        </w:rPr>
        <w:t>Инициативный проект «Текущий ремонт входной группы и фасада библиотеки. Оснащение материально-технической базой библиотеки семейного чтения № 4», выдвигаемый для получения финансовой поддержки за счет межбюджетных трансфертов из областного бюджета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tbl>
      <w:tblPr>
        <w:tblStyle w:val="a3"/>
        <w:tblW w:w="9903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88"/>
        <w:gridCol w:w="3629"/>
        <w:gridCol w:w="5686"/>
      </w:tblGrid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6"/>
                <w:szCs w:val="26"/>
                <w:lang w:val="ru-RU" w:eastAsia="en-US" w:bidi="ar-SA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b/>
                <w:kern w:val="0"/>
                <w:sz w:val="26"/>
                <w:szCs w:val="26"/>
                <w:lang w:val="ru-RU" w:eastAsia="en-US" w:bidi="ar-SA"/>
              </w:rPr>
              <w:t>п/п</w:t>
            </w:r>
          </w:p>
        </w:tc>
        <w:tc>
          <w:tcPr>
            <w:tcW w:w="362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6"/>
                <w:szCs w:val="26"/>
                <w:lang w:val="ru-RU" w:eastAsia="en-US" w:bidi="ar-SA"/>
              </w:rPr>
              <w:t>Общая характеристика инициативного проекта</w:t>
            </w:r>
          </w:p>
        </w:tc>
        <w:tc>
          <w:tcPr>
            <w:tcW w:w="568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6"/>
                <w:szCs w:val="26"/>
                <w:lang w:val="ru-RU" w:eastAsia="en-US" w:bidi="ar-SA"/>
              </w:rPr>
              <w:t>Сведения об инициативном проекте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1.</w:t>
            </w:r>
          </w:p>
        </w:tc>
        <w:tc>
          <w:tcPr>
            <w:tcW w:w="362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Наименование инициативного проекта</w:t>
            </w:r>
          </w:p>
        </w:tc>
        <w:tc>
          <w:tcPr>
            <w:tcW w:w="5686" w:type="dxa"/>
            <w:tcBorders/>
          </w:tcPr>
          <w:p>
            <w:pPr>
              <w:pStyle w:val="ConsPlusNormal"/>
              <w:tabs>
                <w:tab w:val="clear" w:pos="708"/>
                <w:tab w:val="left" w:pos="993" w:leader="none"/>
              </w:tabs>
              <w:suppressAutoHyphens w:val="true"/>
              <w:ind w:hanging="0"/>
              <w:jc w:val="both"/>
              <w:rPr>
                <w:rFonts w:ascii="Nimbus Roman" w:hAnsi="Nimbus Roman"/>
                <w:sz w:val="26"/>
                <w:szCs w:val="26"/>
              </w:rPr>
            </w:pPr>
            <w:r>
              <w:rPr>
                <w:rFonts w:ascii="Nimbus Roman" w:hAnsi="Nimbus Roman"/>
                <w:sz w:val="26"/>
                <w:szCs w:val="26"/>
              </w:rPr>
              <w:t>«Текущий ремонт входной группы и фасада библиотеки. Оснащение материально-технической базой библиотеки семейного чтения № 4»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2.</w:t>
            </w:r>
          </w:p>
        </w:tc>
        <w:tc>
          <w:tcPr>
            <w:tcW w:w="362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Приоритетные направления реализации инициативного проекта</w:t>
            </w:r>
          </w:p>
        </w:tc>
        <w:tc>
          <w:tcPr>
            <w:tcW w:w="568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Организация объектов социальной культуры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3.</w:t>
            </w:r>
          </w:p>
        </w:tc>
        <w:tc>
          <w:tcPr>
            <w:tcW w:w="362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Описание проблемы, решение которой имеет приоритетное значение для жителей Копейского городского округа или его части</w:t>
            </w:r>
          </w:p>
        </w:tc>
        <w:tc>
          <w:tcPr>
            <w:tcW w:w="568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Библиотека является центром притяжения и общения жителей пос. Железнодорожный. Однако, несмотря на высокую востребованность услуг, инфраструктура здания и оборудование требуют серьёзного обновления.  Износившееся крыльцо представляет опасность и дискомфорт для посетителей, особенного пожилого возраста и родителей с маленькими детьми. Входная группа находится в неудовлетворительном состоянии. Техническое оснащение библиотеки также устарело.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4.</w:t>
            </w:r>
          </w:p>
        </w:tc>
        <w:tc>
          <w:tcPr>
            <w:tcW w:w="362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Обоснование предложений по решению указанной проблемы</w:t>
            </w:r>
          </w:p>
        </w:tc>
        <w:tc>
          <w:tcPr>
            <w:tcW w:w="568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Проведение ремонтных работ крыльца позволит обеспечить безопасный и удобный доступ в помещение, минимизировав риски падения и травм.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Современные двери обеспечат лучшую теплоизоляцию и звукоизоляцию помещения, снизив затраты на отопление и повысив уровень комфорта внутри здания.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Замена входной группы необходима для поддержания нормального микроклимата и долговечности конструкций.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Современное оборудование (телевизор, цветной принтер и компьютерные рабочие станции) необходимы для предоставления качественных услуг населению. Телевизор позволит демонстрировать образовательные программы и культурные мероприятия, цветной принтер упростит печать документов и иллюстраций высокого качества, а новые компьютеры предоставят пользователям современные инструменты для работы и учёбы.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5.</w:t>
            </w:r>
          </w:p>
        </w:tc>
        <w:tc>
          <w:tcPr>
            <w:tcW w:w="362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8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В результате реализации проекта учреждение в полной мере раскроет потенциал культурно-досугового учреждения, станет максимально комфортным местом для проведения различных массовых мероприятий и индивидуального обслуживания читателей и пользователей библиотеки, появится возможность снизить социальное напряжение среди населения, поддержать и сохранить стремление к культурному развитию взрослых и детей. Повысится доступность и качество, объём и разнообразие предоставляемых услуг.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6.</w:t>
            </w:r>
          </w:p>
        </w:tc>
        <w:tc>
          <w:tcPr>
            <w:tcW w:w="362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Предварительный расчет необходимых расходов на реализацию  инициативного проекта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568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1 473 363,73 рублей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7.</w:t>
            </w:r>
          </w:p>
        </w:tc>
        <w:tc>
          <w:tcPr>
            <w:tcW w:w="3629" w:type="dxa"/>
            <w:tcBorders/>
          </w:tcPr>
          <w:p>
            <w:pPr>
              <w:pStyle w:val="ConsPlusNormal"/>
              <w:suppressAutoHyphens w:val="true"/>
              <w:spacing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kern w:val="0"/>
                <w:sz w:val="26"/>
                <w:szCs w:val="26"/>
                <w:lang w:val="ru-RU" w:bidi="ar-SA"/>
              </w:rPr>
              <w:t>Планируемые сроки реализации инициативного проекта</w:t>
            </w:r>
          </w:p>
        </w:tc>
        <w:tc>
          <w:tcPr>
            <w:tcW w:w="568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2026 год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8.</w:t>
            </w:r>
          </w:p>
        </w:tc>
        <w:tc>
          <w:tcPr>
            <w:tcW w:w="3629" w:type="dxa"/>
            <w:tcBorders/>
          </w:tcPr>
          <w:p>
            <w:pPr>
              <w:pStyle w:val="ConsPlusNormal"/>
              <w:suppressAutoHyphens w:val="true"/>
              <w:spacing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kern w:val="0"/>
                <w:sz w:val="26"/>
                <w:szCs w:val="26"/>
                <w:lang w:val="ru-RU" w:bidi="ar-SA"/>
              </w:rPr>
              <w:t>Сведения о планируемом (возможном) финансовом, имущественном и (или) трудовом участии заинтересованных лиц в реализации инициативного проекта</w:t>
            </w:r>
          </w:p>
        </w:tc>
        <w:tc>
          <w:tcPr>
            <w:tcW w:w="568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6"/>
                <w:szCs w:val="26"/>
                <w:lang w:val="ru-RU" w:eastAsia="en-US" w:bidi="ar-SA"/>
              </w:rPr>
              <w:t>58 934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6"/>
                <w:szCs w:val="26"/>
                <w:lang w:val="ru-RU" w:eastAsia="en-US" w:bidi="ar-SA"/>
              </w:rPr>
              <w:t>,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6"/>
                <w:szCs w:val="26"/>
                <w:lang w:val="ru-RU" w:eastAsia="en-US" w:bidi="ar-SA"/>
              </w:rPr>
              <w:t>55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6"/>
                <w:szCs w:val="26"/>
                <w:lang w:val="ru-RU" w:eastAsia="en-US" w:bidi="ar-SA"/>
              </w:rPr>
              <w:t xml:space="preserve"> рублей</w:t>
            </w: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 xml:space="preserve"> (4 %)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Проведение субботника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9.</w:t>
            </w:r>
          </w:p>
        </w:tc>
        <w:tc>
          <w:tcPr>
            <w:tcW w:w="3629" w:type="dxa"/>
            <w:tcBorders/>
          </w:tcPr>
          <w:p>
            <w:pPr>
              <w:pStyle w:val="ConsPlusNormal"/>
              <w:suppressAutoHyphens w:val="true"/>
              <w:spacing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kern w:val="0"/>
                <w:sz w:val="26"/>
                <w:szCs w:val="26"/>
                <w:lang w:val="ru-RU" w:bidi="ar-SA"/>
              </w:rPr>
              <w:t>Указание на объем средств местного бюджета в случае, если предполагается использование этих средств на реализацию инициативного проекта</w:t>
            </w:r>
          </w:p>
        </w:tc>
        <w:tc>
          <w:tcPr>
            <w:tcW w:w="568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0,1 %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10.</w:t>
            </w:r>
          </w:p>
        </w:tc>
        <w:tc>
          <w:tcPr>
            <w:tcW w:w="3629" w:type="dxa"/>
            <w:tcBorders/>
          </w:tcPr>
          <w:p>
            <w:pPr>
              <w:pStyle w:val="ConsPlusNormal"/>
              <w:suppressAutoHyphens w:val="true"/>
              <w:spacing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kern w:val="0"/>
                <w:sz w:val="26"/>
                <w:szCs w:val="26"/>
                <w:lang w:val="ru-RU" w:bidi="ar-SA"/>
              </w:rPr>
              <w:t>Указание на территорию Копейского городского округа или часть территории городского округа, в границах которой будет реализовываться инициативный проект, определяемую в соответствии 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686" w:type="dxa"/>
            <w:tcBorders/>
          </w:tcPr>
          <w:p>
            <w:pPr>
              <w:pStyle w:val="ConsPlusNormal"/>
              <w:suppressAutoHyphens w:val="true"/>
              <w:ind w:hanging="0"/>
              <w:jc w:val="both"/>
              <w:rPr>
                <w:rFonts w:ascii="Nimbus Roman" w:hAnsi="Nimbus Roman"/>
                <w:sz w:val="26"/>
                <w:szCs w:val="26"/>
              </w:rPr>
            </w:pPr>
            <w:r>
              <w:rPr>
                <w:rFonts w:ascii="Nimbus Roman" w:hAnsi="Nimbus Roman"/>
                <w:sz w:val="26"/>
                <w:szCs w:val="26"/>
              </w:rPr>
              <w:t>г. Копейск, ул. Терешковой, д. 5а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11.</w:t>
            </w:r>
          </w:p>
        </w:tc>
        <w:tc>
          <w:tcPr>
            <w:tcW w:w="362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Сведения об инициаторах проекта</w:t>
            </w:r>
          </w:p>
        </w:tc>
        <w:tc>
          <w:tcPr>
            <w:tcW w:w="5686" w:type="dxa"/>
            <w:tcBorders/>
          </w:tcPr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Пугачева Светлана Юрьевна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Распопова Юлия Александровна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Мишкин Максим Дмитриевич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Вусатая Елена Николаевна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Владимирова Марина Михайловна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Шаравина Лиана Григорьевна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Кочева Дарья Владимировна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Мищенко Людмила Ивановна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Федосеева Татьяна Оттовна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Филимонова Наталья Владимировна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Хакимова Ольга Витальевна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12</w:t>
            </w:r>
          </w:p>
        </w:tc>
        <w:tc>
          <w:tcPr>
            <w:tcW w:w="362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Распоряжение об определении части территории, на которой будет реализовываться инициативный проект</w:t>
            </w:r>
          </w:p>
        </w:tc>
        <w:tc>
          <w:tcPr>
            <w:tcW w:w="568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Распоряжение администрации КГО № 721-р от 13.08.2025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13</w:t>
            </w:r>
          </w:p>
        </w:tc>
        <w:tc>
          <w:tcPr>
            <w:tcW w:w="362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Протокол собрания или конференции граждан</w:t>
            </w:r>
          </w:p>
        </w:tc>
        <w:tc>
          <w:tcPr>
            <w:tcW w:w="568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Протокол собрания граждан от 08.09.2025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Жители Копейского городского округа, достигшие восемнадцатилетнего возраста, могут направить свои замечания и предложения по внесенным инициативным проектам в администрацию городского округа на электронную почту по адресу: </w:t>
      </w:r>
      <w:hyperlink r:id="rId2">
        <w:r>
          <w:rPr>
            <w:rStyle w:val="Hyperlink"/>
            <w:rFonts w:cs="Times New Roman" w:ascii="Times New Roman" w:hAnsi="Times New Roman"/>
            <w:sz w:val="28"/>
            <w:szCs w:val="28"/>
            <w:lang w:val="en-US"/>
          </w:rPr>
          <w:t>ter</w:t>
        </w:r>
        <w:r>
          <w:rPr>
            <w:rStyle w:val="Hyperlink"/>
            <w:rFonts w:cs="Times New Roman" w:ascii="Times New Roman" w:hAnsi="Times New Roman"/>
            <w:sz w:val="28"/>
            <w:szCs w:val="28"/>
          </w:rPr>
          <w:t>_</w:t>
        </w:r>
        <w:r>
          <w:rPr>
            <w:rStyle w:val="Hyperlink"/>
            <w:rFonts w:cs="Times New Roman" w:ascii="Times New Roman" w:hAnsi="Times New Roman"/>
            <w:sz w:val="28"/>
            <w:szCs w:val="28"/>
            <w:lang w:val="en-US"/>
          </w:rPr>
          <w:t>otd</w:t>
        </w:r>
        <w:r>
          <w:rPr>
            <w:rStyle w:val="Hyperlink"/>
            <w:rFonts w:cs="Times New Roman" w:ascii="Times New Roman" w:hAnsi="Times New Roman"/>
            <w:sz w:val="28"/>
            <w:szCs w:val="28"/>
          </w:rPr>
          <w:t>74@</w:t>
        </w:r>
        <w:r>
          <w:rPr>
            <w:rStyle w:val="Hyperlink"/>
            <w:rFonts w:cs="Times New Roman" w:ascii="Times New Roman" w:hAnsi="Times New Roman"/>
            <w:sz w:val="28"/>
            <w:szCs w:val="28"/>
            <w:lang w:val="en-US"/>
          </w:rPr>
          <w:t>akgo</w:t>
        </w:r>
        <w:r>
          <w:rPr>
            <w:rStyle w:val="Hyperlink"/>
            <w:rFonts w:cs="Times New Roman" w:ascii="Times New Roman" w:hAnsi="Times New Roman"/>
            <w:sz w:val="28"/>
            <w:szCs w:val="28"/>
          </w:rPr>
          <w:t>74.</w:t>
        </w:r>
        <w:r>
          <w:rPr>
            <w:rStyle w:val="Hyperlink"/>
            <w:rFonts w:cs="Times New Roman" w:ascii="Times New Roman" w:hAnsi="Times New Roman"/>
            <w:sz w:val="28"/>
            <w:szCs w:val="28"/>
            <w:lang w:val="en-US"/>
          </w:rPr>
          <w:t>ru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в течение 5 (пяти) рабочих дней со дня опубликования проекта на сайте администрации КГО.</w:t>
      </w:r>
    </w:p>
    <w:sectPr>
      <w:type w:val="nextPage"/>
      <w:pgSz w:w="11906" w:h="16838"/>
      <w:pgMar w:left="1418" w:right="567" w:gutter="0" w:header="0" w:top="567" w:footer="0" w:bottom="56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empora LGC Uni">
    <w:charset w:val="01"/>
    <w:family w:val="roman"/>
    <w:pitch w:val="variable"/>
  </w:font>
  <w:font w:name="Calibri">
    <w:charset w:val="01"/>
    <w:family w:val="roman"/>
    <w:pitch w:val="variable"/>
  </w:font>
  <w:font w:name="Open Sans">
    <w:charset w:val="01"/>
    <w:family w:val="roman"/>
    <w:pitch w:val="variable"/>
  </w:font>
  <w:font w:name="Times New Roman">
    <w:charset w:val="01"/>
    <w:family w:val="roman"/>
    <w:pitch w:val="variable"/>
  </w:font>
  <w:font w:name="Nimbus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1179d8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sid w:val="00ea712c"/>
    <w:rPr>
      <w:color w:val="0000FF"/>
      <w:u w:val="single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Lohit Devanagari"/>
    </w:rPr>
  </w:style>
  <w:style w:type="paragraph" w:styleId="ConsPlusNormal" w:customStyle="1">
    <w:name w:val="ConsPlusNormal"/>
    <w:qFormat/>
    <w:rsid w:val="00f457ff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0"/>
      <w:lang w:val="ru-RU" w:eastAsia="ru-RU" w:bidi="ar-SA"/>
    </w:rPr>
  </w:style>
  <w:style w:type="paragraph" w:styleId="ListParagraph">
    <w:name w:val="List Paragraph"/>
    <w:basedOn w:val="Normal"/>
    <w:uiPriority w:val="34"/>
    <w:qFormat/>
    <w:rsid w:val="00491a82"/>
    <w:pPr>
      <w:spacing w:before="0" w:after="200"/>
      <w:ind w:left="72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ib@akgo74.ru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5D5D52-0369-46BB-B42F-D9FF52AAE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LibreOffice/7.6.0.3$Linux_X86_64 LibreOffice_project/60$Build-3</Application>
  <AppVersion>15.0000</AppVersion>
  <Pages>3</Pages>
  <Words>503</Words>
  <Characters>3795</Characters>
  <CharactersWithSpaces>4242</CharactersWithSpaces>
  <Paragraphs>58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2025-10-01T03:30:00Z</dcterms:created>
  <dc:creator>Желтова Лилия Фасхутдиновна</dc:creator>
  <dc:description/>
  <dc:language>ru-RU</dc:language>
  <cp:lastModifiedBy/>
  <dcterms:modified xsi:type="dcterms:W3CDTF">2025-10-21T11:48:48Z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