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  <Override PartName="/word/_rels/document.xml.rels" ContentType="application/vnd.openxmlformats-package.relationship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customXml/_rels/item1.xml.rels" ContentType="application/vnd.openxmlformats-package.relationships+xml"/>
  <Override PartName="/customXml/itemProps1.xml" ContentType="application/vnd.openxmlformats-officedocument.customXmlProperties+xml"/>
  <Override PartName="/customXml/item1.xml" ContentType="application/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  <w:r>
        <w:rPr>
          <w:rFonts w:cs="Times New Roman" w:ascii="Times New Roman" w:hAnsi="Times New Roman"/>
          <w:sz w:val="26"/>
          <w:szCs w:val="26"/>
        </w:rPr>
        <w:t>Инициативный проект «Выполнение работ по сносу и опиловке зелёных насаждений по улице Зелёная села Калачёво», выдвигаемый для получения финансовой поддержки за счет межбюджетных трансфертов из областного бюджета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tbl>
      <w:tblPr>
        <w:tblStyle w:val="a3"/>
        <w:tblW w:w="9903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88"/>
        <w:gridCol w:w="3628"/>
        <w:gridCol w:w="5687"/>
      </w:tblGrid>
      <w:tr>
        <w:trPr/>
        <w:tc>
          <w:tcPr>
            <w:tcW w:w="58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6"/>
                <w:szCs w:val="26"/>
                <w:lang w:val="ru-RU" w:eastAsia="en-US" w:bidi="ar-SA"/>
              </w:rPr>
              <w:t xml:space="preserve">№ </w:t>
            </w:r>
            <w:r>
              <w:rPr>
                <w:rFonts w:eastAsia="Calibri" w:cs="Times New Roman" w:ascii="Times New Roman" w:hAnsi="Times New Roman"/>
                <w:b/>
                <w:kern w:val="0"/>
                <w:sz w:val="26"/>
                <w:szCs w:val="26"/>
                <w:lang w:val="ru-RU" w:eastAsia="en-US" w:bidi="ar-SA"/>
              </w:rPr>
              <w:t>п/п</w:t>
            </w:r>
          </w:p>
        </w:tc>
        <w:tc>
          <w:tcPr>
            <w:tcW w:w="362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12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6"/>
                <w:szCs w:val="26"/>
                <w:lang w:val="ru-RU" w:eastAsia="en-US" w:bidi="ar-SA"/>
              </w:rPr>
              <w:t>Общая характеристика инициативного проекта</w:t>
            </w:r>
          </w:p>
        </w:tc>
        <w:tc>
          <w:tcPr>
            <w:tcW w:w="568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6"/>
                <w:szCs w:val="26"/>
                <w:lang w:val="ru-RU" w:eastAsia="en-US" w:bidi="ar-SA"/>
              </w:rPr>
              <w:t>Сведения об инициативном проекте</w:t>
            </w:r>
          </w:p>
        </w:tc>
      </w:tr>
      <w:tr>
        <w:trPr/>
        <w:tc>
          <w:tcPr>
            <w:tcW w:w="58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1.</w:t>
            </w:r>
          </w:p>
        </w:tc>
        <w:tc>
          <w:tcPr>
            <w:tcW w:w="362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Наименование инициативного проекта</w:t>
            </w:r>
          </w:p>
        </w:tc>
        <w:tc>
          <w:tcPr>
            <w:tcW w:w="5687" w:type="dxa"/>
            <w:tcBorders/>
          </w:tcPr>
          <w:p>
            <w:pPr>
              <w:pStyle w:val="Normal"/>
              <w:suppressAutoHyphens w:val="true"/>
              <w:spacing w:lineRule="auto" w:line="240" w:before="0" w:after="0"/>
              <w:jc w:val="left"/>
              <w:rPr>
                <w:rFonts w:ascii="Nimbus Roman" w:hAnsi="Nimbus Roman"/>
                <w:sz w:val="26"/>
                <w:szCs w:val="26"/>
              </w:rPr>
            </w:pPr>
            <w:r>
              <w:rPr>
                <w:rFonts w:ascii="Nimbus Roman" w:hAnsi="Nimbus Roman"/>
                <w:sz w:val="26"/>
                <w:szCs w:val="26"/>
              </w:rPr>
              <w:t>«Выполнение работ по сносу и опиловке зелёных насаждений по улице Зелёная села Калачёво»</w:t>
            </w:r>
          </w:p>
        </w:tc>
      </w:tr>
      <w:tr>
        <w:trPr/>
        <w:tc>
          <w:tcPr>
            <w:tcW w:w="58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2.</w:t>
            </w:r>
          </w:p>
        </w:tc>
        <w:tc>
          <w:tcPr>
            <w:tcW w:w="362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Приоритетные направления реализации инициативного проекта</w:t>
            </w:r>
          </w:p>
        </w:tc>
        <w:tc>
          <w:tcPr>
            <w:tcW w:w="568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Nimbus Roman" w:hAnsi="Nimbus Roman"/>
                <w:sz w:val="22"/>
              </w:rPr>
            </w:pPr>
            <w:r>
              <w:rPr>
                <w:rFonts w:ascii="Nimbus Roman" w:hAnsi="Nimbus Roman"/>
                <w:sz w:val="26"/>
              </w:rPr>
              <w:t>Организация благоустройства территории муниципального образования или его части</w:t>
            </w:r>
          </w:p>
        </w:tc>
      </w:tr>
      <w:tr>
        <w:trPr/>
        <w:tc>
          <w:tcPr>
            <w:tcW w:w="58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3.</w:t>
            </w:r>
          </w:p>
        </w:tc>
        <w:tc>
          <w:tcPr>
            <w:tcW w:w="362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12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Описание проблемы, решение которой имеет приоритетное значение для жителей Копейского городского округа или его части</w:t>
            </w:r>
          </w:p>
        </w:tc>
        <w:tc>
          <w:tcPr>
            <w:tcW w:w="568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Улица Зелёная села Калачёво Копейского городского округа является центральной улицей села, где находятся социальные объекты: Дом культуры, школа № 5, врачебная амбулатория. Разросшиеся деревья рядом с детской площадкой представляют большую опасность для детей и населения. Огромные ветки деревьев при непогоде и сильном ветре ломаются и падают, тем самым угрожая здоровью жителей или повреждению имущества, а также ограничивают поле зрения водителей, двигающихся по автодорогам, что может привести к аварийным ситуациям.</w:t>
            </w:r>
          </w:p>
        </w:tc>
      </w:tr>
      <w:tr>
        <w:trPr/>
        <w:tc>
          <w:tcPr>
            <w:tcW w:w="58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4.</w:t>
            </w:r>
          </w:p>
        </w:tc>
        <w:tc>
          <w:tcPr>
            <w:tcW w:w="362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12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Обоснование предложений по решению указанной проблемы</w:t>
            </w:r>
          </w:p>
        </w:tc>
        <w:tc>
          <w:tcPr>
            <w:tcW w:w="568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Снос и опиловка зелёных насаждений имеет социальную, общественную полезность для жителей села Калачёво.</w:t>
            </w:r>
          </w:p>
        </w:tc>
      </w:tr>
      <w:tr>
        <w:trPr/>
        <w:tc>
          <w:tcPr>
            <w:tcW w:w="58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5.</w:t>
            </w:r>
          </w:p>
        </w:tc>
        <w:tc>
          <w:tcPr>
            <w:tcW w:w="362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12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Описание ожидаемого результата (ожидаемых результатов) реализации инициативного проекта</w:t>
            </w:r>
          </w:p>
        </w:tc>
        <w:tc>
          <w:tcPr>
            <w:tcW w:w="568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Качественное выполнение работ по сносу и опиловке зелёных насаждений является одним из основных условий нормальной жизнедеятельности, тем самым повысится уровень жизни жителей и улучшит внешний эстетический облик села.</w:t>
            </w:r>
          </w:p>
        </w:tc>
      </w:tr>
      <w:tr>
        <w:trPr/>
        <w:tc>
          <w:tcPr>
            <w:tcW w:w="58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6.</w:t>
            </w:r>
          </w:p>
        </w:tc>
        <w:tc>
          <w:tcPr>
            <w:tcW w:w="362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12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Предварительный расчет необходимых расходов на реализацию  инициативного проекта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12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</w:r>
          </w:p>
        </w:tc>
        <w:tc>
          <w:tcPr>
            <w:tcW w:w="568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241 949,45 руб.</w:t>
            </w:r>
          </w:p>
        </w:tc>
      </w:tr>
      <w:tr>
        <w:trPr/>
        <w:tc>
          <w:tcPr>
            <w:tcW w:w="58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7.</w:t>
            </w:r>
          </w:p>
        </w:tc>
        <w:tc>
          <w:tcPr>
            <w:tcW w:w="3628" w:type="dxa"/>
            <w:tcBorders/>
          </w:tcPr>
          <w:p>
            <w:pPr>
              <w:pStyle w:val="ConsPlusNormal"/>
              <w:suppressAutoHyphens w:val="true"/>
              <w:spacing w:before="0" w:after="12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kern w:val="0"/>
                <w:sz w:val="26"/>
                <w:szCs w:val="26"/>
                <w:lang w:val="ru-RU" w:bidi="ar-SA"/>
              </w:rPr>
              <w:t>Планируемые сроки реализации инициативного проекта</w:t>
            </w:r>
          </w:p>
        </w:tc>
        <w:tc>
          <w:tcPr>
            <w:tcW w:w="568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2026 год</w:t>
            </w:r>
          </w:p>
        </w:tc>
      </w:tr>
      <w:tr>
        <w:trPr/>
        <w:tc>
          <w:tcPr>
            <w:tcW w:w="58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8.</w:t>
            </w:r>
          </w:p>
        </w:tc>
        <w:tc>
          <w:tcPr>
            <w:tcW w:w="3628" w:type="dxa"/>
            <w:tcBorders/>
          </w:tcPr>
          <w:p>
            <w:pPr>
              <w:pStyle w:val="ConsPlusNormal"/>
              <w:suppressAutoHyphens w:val="true"/>
              <w:spacing w:before="0" w:after="12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kern w:val="0"/>
                <w:sz w:val="26"/>
                <w:szCs w:val="26"/>
                <w:lang w:val="ru-RU" w:bidi="ar-SA"/>
              </w:rPr>
              <w:t>Сведения о планируемом (возможном) финансовом, имущественном и (или) трудовом участии заинтересованных лиц в реализации инициативного проекта</w:t>
            </w:r>
          </w:p>
        </w:tc>
        <w:tc>
          <w:tcPr>
            <w:tcW w:w="568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4 838,99 руб. (2%)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Проведение субботника</w:t>
            </w:r>
          </w:p>
        </w:tc>
      </w:tr>
      <w:tr>
        <w:trPr/>
        <w:tc>
          <w:tcPr>
            <w:tcW w:w="58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9.</w:t>
            </w:r>
          </w:p>
        </w:tc>
        <w:tc>
          <w:tcPr>
            <w:tcW w:w="3628" w:type="dxa"/>
            <w:tcBorders/>
          </w:tcPr>
          <w:p>
            <w:pPr>
              <w:pStyle w:val="ConsPlusNormal"/>
              <w:suppressAutoHyphens w:val="true"/>
              <w:spacing w:before="0" w:after="12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kern w:val="0"/>
                <w:sz w:val="26"/>
                <w:szCs w:val="26"/>
                <w:lang w:val="ru-RU" w:bidi="ar-SA"/>
              </w:rPr>
              <w:t>Указание на объем средств местного бюджета в случае, если предполагается использование этих средств на реализацию инициативного проекта</w:t>
            </w:r>
          </w:p>
        </w:tc>
        <w:tc>
          <w:tcPr>
            <w:tcW w:w="568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0,1 %</w:t>
            </w:r>
          </w:p>
        </w:tc>
      </w:tr>
      <w:tr>
        <w:trPr/>
        <w:tc>
          <w:tcPr>
            <w:tcW w:w="58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10.</w:t>
            </w:r>
          </w:p>
        </w:tc>
        <w:tc>
          <w:tcPr>
            <w:tcW w:w="3628" w:type="dxa"/>
            <w:tcBorders/>
          </w:tcPr>
          <w:p>
            <w:pPr>
              <w:pStyle w:val="ConsPlusNormal"/>
              <w:suppressAutoHyphens w:val="true"/>
              <w:spacing w:before="0" w:after="12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kern w:val="0"/>
                <w:sz w:val="26"/>
                <w:szCs w:val="26"/>
                <w:lang w:val="ru-RU" w:bidi="ar-SA"/>
              </w:rPr>
              <w:t>Указание на территорию Копейского городского округа или часть территории городского округа, в границах которой будет реализовываться инициативный проект, определяемую в соответствии с порядком, установленным нормативно-правовым актом представительного органа муниципального образования</w:t>
            </w:r>
          </w:p>
        </w:tc>
        <w:tc>
          <w:tcPr>
            <w:tcW w:w="5687" w:type="dxa"/>
            <w:tcBorders/>
          </w:tcPr>
          <w:p>
            <w:pPr>
              <w:pStyle w:val="ConsPlusNormal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kern w:val="0"/>
                <w:sz w:val="26"/>
                <w:szCs w:val="26"/>
                <w:lang w:val="ru-RU" w:bidi="ar-SA"/>
              </w:rPr>
              <w:t>Челябинская обл., г. Копейск, с. Калачёво, ул. Зелёная, территория между д. 7А и д. 15</w:t>
            </w:r>
          </w:p>
        </w:tc>
      </w:tr>
      <w:tr>
        <w:trPr/>
        <w:tc>
          <w:tcPr>
            <w:tcW w:w="58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11.</w:t>
            </w:r>
          </w:p>
        </w:tc>
        <w:tc>
          <w:tcPr>
            <w:tcW w:w="362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Сведения об инициаторах проекта</w:t>
            </w:r>
          </w:p>
        </w:tc>
        <w:tc>
          <w:tcPr>
            <w:tcW w:w="5687" w:type="dxa"/>
            <w:tcBorders/>
          </w:tcPr>
          <w:p>
            <w:pPr>
              <w:pStyle w:val="Normal"/>
              <w:widowControl/>
              <w:tabs>
                <w:tab w:val="clear" w:pos="708"/>
                <w:tab w:val="right" w:pos="3585" w:leader="none"/>
              </w:tabs>
              <w:suppressAutoHyphens w:val="true"/>
              <w:spacing w:lineRule="auto" w:line="240" w:before="0" w:after="0"/>
              <w:jc w:val="left"/>
              <w:rPr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sz w:val="26"/>
                <w:szCs w:val="26"/>
              </w:rPr>
              <w:t>Гремитских Наталья Салаватовна</w:t>
            </w:r>
          </w:p>
          <w:p>
            <w:pPr>
              <w:pStyle w:val="Normal"/>
              <w:widowControl/>
              <w:tabs>
                <w:tab w:val="clear" w:pos="708"/>
                <w:tab w:val="right" w:pos="3585" w:leader="none"/>
              </w:tabs>
              <w:suppressAutoHyphens w:val="true"/>
              <w:spacing w:lineRule="auto" w:line="240" w:before="0" w:after="0"/>
              <w:jc w:val="left"/>
              <w:rPr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sz w:val="26"/>
                <w:szCs w:val="26"/>
              </w:rPr>
              <w:t>Скобкарева Екатерина Викторовна</w:t>
            </w:r>
          </w:p>
          <w:p>
            <w:pPr>
              <w:pStyle w:val="Normal"/>
              <w:widowControl/>
              <w:tabs>
                <w:tab w:val="clear" w:pos="708"/>
                <w:tab w:val="right" w:pos="3585" w:leader="none"/>
              </w:tabs>
              <w:suppressAutoHyphens w:val="true"/>
              <w:spacing w:lineRule="auto" w:line="240" w:before="0" w:after="0"/>
              <w:jc w:val="left"/>
              <w:rPr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sz w:val="26"/>
                <w:szCs w:val="26"/>
              </w:rPr>
              <w:t>Платонова Евгения Юрьевна</w:t>
            </w:r>
          </w:p>
          <w:p>
            <w:pPr>
              <w:pStyle w:val="Normal"/>
              <w:widowControl/>
              <w:tabs>
                <w:tab w:val="clear" w:pos="708"/>
                <w:tab w:val="right" w:pos="3585" w:leader="none"/>
              </w:tabs>
              <w:suppressAutoHyphens w:val="true"/>
              <w:spacing w:lineRule="auto" w:line="240" w:before="0" w:after="0"/>
              <w:jc w:val="left"/>
              <w:rPr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sz w:val="26"/>
                <w:szCs w:val="26"/>
              </w:rPr>
              <w:t>Балашова Галина Александровна</w:t>
            </w:r>
          </w:p>
          <w:p>
            <w:pPr>
              <w:pStyle w:val="Normal"/>
              <w:widowControl/>
              <w:tabs>
                <w:tab w:val="clear" w:pos="708"/>
                <w:tab w:val="right" w:pos="3585" w:leader="none"/>
              </w:tabs>
              <w:suppressAutoHyphens w:val="true"/>
              <w:spacing w:lineRule="auto" w:line="240" w:before="0" w:after="0"/>
              <w:jc w:val="left"/>
              <w:rPr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sz w:val="26"/>
                <w:szCs w:val="26"/>
              </w:rPr>
              <w:t>Курбангалиева Фатима Сапаргалеевна</w:t>
            </w:r>
          </w:p>
          <w:p>
            <w:pPr>
              <w:pStyle w:val="Normal"/>
              <w:widowControl/>
              <w:tabs>
                <w:tab w:val="clear" w:pos="708"/>
                <w:tab w:val="right" w:pos="3585" w:leader="none"/>
              </w:tabs>
              <w:suppressAutoHyphens w:val="true"/>
              <w:spacing w:lineRule="auto" w:line="240" w:before="0" w:after="0"/>
              <w:jc w:val="left"/>
              <w:rPr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sz w:val="26"/>
                <w:szCs w:val="26"/>
              </w:rPr>
              <w:t>Ревякина Татьяна Анатольевна</w:t>
            </w:r>
          </w:p>
          <w:p>
            <w:pPr>
              <w:pStyle w:val="Normal"/>
              <w:widowControl/>
              <w:tabs>
                <w:tab w:val="clear" w:pos="708"/>
                <w:tab w:val="right" w:pos="3585" w:leader="none"/>
              </w:tabs>
              <w:suppressAutoHyphens w:val="true"/>
              <w:spacing w:lineRule="auto" w:line="240" w:before="0" w:after="0"/>
              <w:jc w:val="left"/>
              <w:rPr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sz w:val="26"/>
                <w:szCs w:val="26"/>
              </w:rPr>
              <w:t>Голендухина Ольга Александровна</w:t>
            </w:r>
          </w:p>
          <w:p>
            <w:pPr>
              <w:pStyle w:val="Normal"/>
              <w:widowControl/>
              <w:tabs>
                <w:tab w:val="clear" w:pos="708"/>
                <w:tab w:val="right" w:pos="3585" w:leader="none"/>
              </w:tabs>
              <w:suppressAutoHyphens w:val="true"/>
              <w:spacing w:lineRule="auto" w:line="240" w:before="0" w:after="0"/>
              <w:jc w:val="left"/>
              <w:rPr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sz w:val="26"/>
                <w:szCs w:val="26"/>
              </w:rPr>
              <w:t>Садыкова Юлия Евгеньевна</w:t>
            </w:r>
          </w:p>
          <w:p>
            <w:pPr>
              <w:pStyle w:val="Normal"/>
              <w:widowControl/>
              <w:tabs>
                <w:tab w:val="clear" w:pos="708"/>
                <w:tab w:val="right" w:pos="3585" w:leader="none"/>
              </w:tabs>
              <w:suppressAutoHyphens w:val="true"/>
              <w:spacing w:lineRule="auto" w:line="240" w:before="0" w:after="0"/>
              <w:jc w:val="left"/>
              <w:rPr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sz w:val="26"/>
                <w:szCs w:val="26"/>
              </w:rPr>
              <w:t>Тамчук Галина Васильевна</w:t>
            </w:r>
          </w:p>
          <w:p>
            <w:pPr>
              <w:pStyle w:val="Normal"/>
              <w:widowControl/>
              <w:tabs>
                <w:tab w:val="clear" w:pos="708"/>
                <w:tab w:val="right" w:pos="3585" w:leader="none"/>
              </w:tabs>
              <w:suppressAutoHyphens w:val="true"/>
              <w:spacing w:lineRule="auto" w:line="240" w:before="0" w:after="0"/>
              <w:jc w:val="left"/>
              <w:rPr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sz w:val="26"/>
                <w:szCs w:val="26"/>
              </w:rPr>
              <w:t>Кофанова Кристина Вячеславовна</w:t>
            </w:r>
          </w:p>
        </w:tc>
      </w:tr>
      <w:tr>
        <w:trPr/>
        <w:tc>
          <w:tcPr>
            <w:tcW w:w="58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12</w:t>
            </w:r>
          </w:p>
        </w:tc>
        <w:tc>
          <w:tcPr>
            <w:tcW w:w="362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Распоряжение об определении части территории, на которой будет реализовываться инициативный проект</w:t>
            </w:r>
          </w:p>
        </w:tc>
        <w:tc>
          <w:tcPr>
            <w:tcW w:w="568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Распоряжение администрации КГО № 602-р от 18.07.2025 года</w:t>
            </w:r>
          </w:p>
        </w:tc>
      </w:tr>
      <w:tr>
        <w:trPr/>
        <w:tc>
          <w:tcPr>
            <w:tcW w:w="58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13</w:t>
            </w:r>
          </w:p>
        </w:tc>
        <w:tc>
          <w:tcPr>
            <w:tcW w:w="362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Протокол собрания или конференции граждан</w:t>
            </w:r>
          </w:p>
        </w:tc>
        <w:tc>
          <w:tcPr>
            <w:tcW w:w="568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Протокол собрания граждан от 05.09.2025 года</w:t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Жители Копейского городского округа, достигшие восемнадцатилетнего возраста, могут направить свои замечания и предложения по внесенным инициативным проектам в администрацию городского округа на электронную почту по адресу: </w:t>
      </w:r>
      <w:hyperlink r:id="rId2">
        <w:r>
          <w:rPr>
            <w:rStyle w:val="Hyperlink"/>
            <w:rFonts w:cs="Times New Roman" w:ascii="Times New Roman" w:hAnsi="Times New Roman"/>
            <w:sz w:val="28"/>
            <w:szCs w:val="28"/>
            <w:lang w:val="en-US"/>
          </w:rPr>
          <w:t>ter</w:t>
        </w:r>
        <w:r>
          <w:rPr>
            <w:rStyle w:val="Hyperlink"/>
            <w:rFonts w:cs="Times New Roman" w:ascii="Times New Roman" w:hAnsi="Times New Roman"/>
            <w:sz w:val="28"/>
            <w:szCs w:val="28"/>
          </w:rPr>
          <w:t>_</w:t>
        </w:r>
        <w:r>
          <w:rPr>
            <w:rStyle w:val="Hyperlink"/>
            <w:rFonts w:cs="Times New Roman" w:ascii="Times New Roman" w:hAnsi="Times New Roman"/>
            <w:sz w:val="28"/>
            <w:szCs w:val="28"/>
            <w:lang w:val="en-US"/>
          </w:rPr>
          <w:t>otd</w:t>
        </w:r>
        <w:r>
          <w:rPr>
            <w:rStyle w:val="Hyperlink"/>
            <w:rFonts w:cs="Times New Roman" w:ascii="Times New Roman" w:hAnsi="Times New Roman"/>
            <w:sz w:val="28"/>
            <w:szCs w:val="28"/>
          </w:rPr>
          <w:t>74@</w:t>
        </w:r>
        <w:r>
          <w:rPr>
            <w:rStyle w:val="Hyperlink"/>
            <w:rFonts w:cs="Times New Roman" w:ascii="Times New Roman" w:hAnsi="Times New Roman"/>
            <w:sz w:val="28"/>
            <w:szCs w:val="28"/>
            <w:lang w:val="en-US"/>
          </w:rPr>
          <w:t>akgo</w:t>
        </w:r>
        <w:r>
          <w:rPr>
            <w:rStyle w:val="Hyperlink"/>
            <w:rFonts w:cs="Times New Roman" w:ascii="Times New Roman" w:hAnsi="Times New Roman"/>
            <w:sz w:val="28"/>
            <w:szCs w:val="28"/>
          </w:rPr>
          <w:t>74.</w:t>
        </w:r>
        <w:r>
          <w:rPr>
            <w:rStyle w:val="Hyperlink"/>
            <w:rFonts w:cs="Times New Roman" w:ascii="Times New Roman" w:hAnsi="Times New Roman"/>
            <w:sz w:val="28"/>
            <w:szCs w:val="28"/>
            <w:lang w:val="en-US"/>
          </w:rPr>
          <w:t>ru</w:t>
        </w:r>
      </w:hyperlink>
      <w:r>
        <w:rPr>
          <w:rFonts w:cs="Times New Roman" w:ascii="Times New Roman" w:hAnsi="Times New Roman"/>
          <w:sz w:val="28"/>
          <w:szCs w:val="28"/>
        </w:rPr>
        <w:t xml:space="preserve"> в течение 5 (пяти) рабочих дней со дня опубликования проекта на сайте администрации КГО.</w:t>
      </w:r>
    </w:p>
    <w:sectPr>
      <w:type w:val="nextPage"/>
      <w:pgSz w:w="11906" w:h="16838"/>
      <w:pgMar w:left="1418" w:right="567" w:gutter="0" w:header="0" w:top="567" w:footer="0" w:bottom="567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empora LGC Uni">
    <w:charset w:val="01"/>
    <w:family w:val="roman"/>
    <w:pitch w:val="variable"/>
  </w:font>
  <w:font w:name="Calibri">
    <w:charset w:val="01"/>
    <w:family w:val="roman"/>
    <w:pitch w:val="variable"/>
  </w:font>
  <w:font w:name="Open Sans">
    <w:charset w:val="01"/>
    <w:family w:val="roman"/>
    <w:pitch w:val="variable"/>
  </w:font>
  <w:font w:name="Times New Roman">
    <w:charset w:val="01"/>
    <w:family w:val="roman"/>
    <w:pitch w:val="variable"/>
  </w:font>
  <w:font w:name="Nimbus Roman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Hyperlink" w:uiPriority="0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1179d8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rsid w:val="00ea712c"/>
    <w:rPr>
      <w:color w:val="0000FF"/>
      <w:u w:val="single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Open Sans" w:hAnsi="Open Sans" w:eastAsia="Droid Sans Fallback" w:cs="Lohit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Lohit Devanagari"/>
    </w:rPr>
  </w:style>
  <w:style w:type="paragraph" w:styleId="ConsPlusNormal" w:customStyle="1">
    <w:name w:val="ConsPlusNormal"/>
    <w:qFormat/>
    <w:rsid w:val="00f457ff"/>
    <w:pPr>
      <w:widowControl w:val="false"/>
      <w:suppressAutoHyphens w:val="true"/>
      <w:bidi w:val="0"/>
      <w:spacing w:lineRule="auto" w:line="240" w:before="0" w:after="0"/>
      <w:jc w:val="left"/>
    </w:pPr>
    <w:rPr>
      <w:rFonts w:ascii="Calibri" w:hAnsi="Calibri" w:eastAsia="Times New Roman" w:cs="Calibri" w:asciiTheme="minorHAnsi" w:hAnsiTheme="minorHAnsi"/>
      <w:color w:val="auto"/>
      <w:kern w:val="0"/>
      <w:sz w:val="22"/>
      <w:szCs w:val="20"/>
      <w:lang w:val="ru-RU" w:eastAsia="ru-RU" w:bidi="ar-SA"/>
    </w:rPr>
  </w:style>
  <w:style w:type="paragraph" w:styleId="ListParagraph">
    <w:name w:val="List Paragraph"/>
    <w:basedOn w:val="Normal"/>
    <w:uiPriority w:val="34"/>
    <w:qFormat/>
    <w:rsid w:val="00491a82"/>
    <w:pPr>
      <w:spacing w:before="0" w:after="200"/>
      <w:ind w:left="72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b2638d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ib@akgo74.ru" TargetMode="Externa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5D5D52-0369-46BB-B42F-D9FF52AAE1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Application>LibreOffice/7.6.0.3$Linux_X86_64 LibreOffice_project/60$Build-3</Application>
  <AppVersion>15.0000</AppVersion>
  <Pages>2</Pages>
  <Words>427</Words>
  <Characters>3032</Characters>
  <CharactersWithSpaces>3406</CharactersWithSpaces>
  <Paragraphs>54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2025-10-01T03:30:00Z</dcterms:created>
  <dc:creator>Желтова Лилия Фасхутдиновна</dc:creator>
  <dc:description/>
  <dc:language>ru-RU</dc:language>
  <cp:lastModifiedBy/>
  <dcterms:modified xsi:type="dcterms:W3CDTF">2025-10-16T11:36:02Z</dcterms:modified>
  <cp:revision>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