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69"/>
      </w:pPr>
      <w:r/>
      <w:bookmarkStart w:id="465" w:name="_Toc73373349"/>
      <w:r>
        <w:t xml:space="preserve">Сведения о свободных земельных участках (</w:t>
      </w:r>
      <w:r>
        <w:t xml:space="preserve">гринфилд</w:t>
      </w:r>
      <w:r>
        <w:t xml:space="preserve">)</w:t>
      </w:r>
      <w:bookmarkEnd w:id="465"/>
      <w:r/>
      <w:r/>
    </w:p>
    <w:p>
      <w:pPr>
        <w:ind w:left="360"/>
        <w:jc w:val="both"/>
        <w:spacing w:lineRule="auto" w:line="240" w:after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</w:r>
      <w:r/>
    </w:p>
    <w:p>
      <w:pPr>
        <w:pStyle w:val="270"/>
        <w:spacing w:lineRule="auto" w:line="240" w:before="0"/>
        <w:rPr>
          <w:lang w:eastAsia="ru-RU"/>
        </w:rPr>
      </w:pPr>
      <w:r/>
      <w:bookmarkStart w:id="466" w:name="_Toc73373350"/>
      <w:r>
        <w:rPr>
          <w:lang w:eastAsia="ru-RU"/>
        </w:rPr>
        <w:t xml:space="preserve">Площадка 1</w:t>
      </w:r>
      <w:bookmarkEnd w:id="466"/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1"/>
        <w:gridCol w:w="4532"/>
        <w:gridCol w:w="4229"/>
      </w:tblGrid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Ермака, 75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</w:t>
            </w:r>
            <w:r>
              <w:rPr>
                <w:sz w:val="26"/>
                <w:szCs w:val="26"/>
                <w:lang w:val="en-US"/>
              </w:rPr>
              <w:t xml:space="preserve">Googl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Maps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74:30:0000000:14771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склады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 участка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15,8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                           - ближайшего населенного пункта               - районного центра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-                                                                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1790,0 км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железнодорожной ветки, идущей на битумный завод, с выходом в районе ст. </w:t>
            </w:r>
            <w:r>
              <w:rPr>
                <w:sz w:val="26"/>
                <w:szCs w:val="26"/>
              </w:rPr>
              <w:t xml:space="preserve">Козырево</w:t>
            </w:r>
            <w:r>
              <w:rPr>
                <w:sz w:val="26"/>
                <w:szCs w:val="26"/>
              </w:rPr>
              <w:t xml:space="preserve"> на дорогу ЮУЖД ОАО РЖД)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</w:t>
            </w:r>
            <w:r>
              <w:rPr>
                <w:sz w:val="26"/>
                <w:szCs w:val="26"/>
              </w:rPr>
              <w:t xml:space="preserve">05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(до автодороги «Обход г. Челябинска» с дальнейшим выходом на федеральные автодороги в трех направлениях: Уфа-Москва, Омск-Новосибирск-</w:t>
            </w:r>
            <w:r>
              <w:rPr>
                <w:sz w:val="26"/>
                <w:szCs w:val="26"/>
              </w:rPr>
              <w:t xml:space="preserve">Иркутск, Троицк-</w:t>
            </w:r>
            <w:r>
              <w:rPr>
                <w:sz w:val="26"/>
                <w:szCs w:val="26"/>
              </w:rPr>
              <w:t xml:space="preserve">Казахтан</w:t>
            </w:r>
            <w:r>
              <w:rPr>
                <w:sz w:val="26"/>
                <w:szCs w:val="26"/>
              </w:rPr>
              <w:t xml:space="preserve">) 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  <w:t xml:space="preserve">.1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pStyle w:val="281"/>
              <w:numPr>
                <w:ilvl w:val="0"/>
                <w:numId w:val="34"/>
              </w:numPr>
              <w:ind w:left="0" w:firstLine="0"/>
              <w:spacing w:lineRule="auto" w:line="240"/>
              <w:tabs>
                <w:tab w:val="left" w:pos="26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ЛЭП-10кВ, идущая вдоль железной дороги при условии получения ТУ на дополнительную мощность в </w:t>
            </w:r>
            <w:r>
              <w:rPr>
                <w:sz w:val="26"/>
                <w:szCs w:val="26"/>
              </w:rPr>
              <w:t xml:space="preserve">Желдорэнерго</w:t>
            </w:r>
            <w:r>
              <w:rPr>
                <w:sz w:val="26"/>
                <w:szCs w:val="26"/>
              </w:rPr>
              <w:t xml:space="preserve">)</w:t>
            </w:r>
            <w:r/>
          </w:p>
          <w:p>
            <w:pPr>
              <w:pStyle w:val="281"/>
              <w:numPr>
                <w:ilvl w:val="0"/>
                <w:numId w:val="34"/>
              </w:numPr>
              <w:ind w:left="0" w:firstLine="0"/>
              <w:spacing w:lineRule="auto" w:line="240"/>
              <w:tabs>
                <w:tab w:val="left" w:pos="25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ВЛ-110кВ со строительством ПС</w:t>
            </w:r>
            <w:r/>
          </w:p>
          <w:p>
            <w:pPr>
              <w:pStyle w:val="281"/>
              <w:numPr>
                <w:ilvl w:val="0"/>
                <w:numId w:val="34"/>
              </w:numPr>
              <w:ind w:left="0" w:firstLine="0"/>
              <w:spacing w:lineRule="auto" w:line="240"/>
              <w:tabs>
                <w:tab w:val="left" w:pos="25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когенерационной</w:t>
            </w:r>
            <w:r>
              <w:rPr>
                <w:sz w:val="26"/>
                <w:szCs w:val="26"/>
              </w:rPr>
              <w:t xml:space="preserve"> установки</w:t>
            </w:r>
            <w:r>
              <w:rPr>
                <w:sz w:val="26"/>
                <w:szCs w:val="26"/>
              </w:rPr>
              <w:t xml:space="preserve"> 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>
              <w:rPr>
                <w:sz w:val="26"/>
                <w:szCs w:val="26"/>
              </w:rPr>
              <w:t xml:space="preserve">,0 МВт (</w:t>
            </w:r>
            <w:r>
              <w:rPr>
                <w:sz w:val="26"/>
                <w:szCs w:val="26"/>
              </w:rPr>
              <w:t xml:space="preserve">с возможностью уточнения</w:t>
            </w:r>
            <w:r>
              <w:rPr>
                <w:sz w:val="26"/>
                <w:szCs w:val="26"/>
              </w:rPr>
              <w:t xml:space="preserve">)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  <w:t xml:space="preserve">.2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pStyle w:val="281"/>
              <w:numPr>
                <w:ilvl w:val="0"/>
                <w:numId w:val="35"/>
              </w:numPr>
              <w:ind w:left="46" w:firstLine="0"/>
              <w:spacing w:lineRule="auto" w:line="240"/>
              <w:tabs>
                <w:tab w:val="left" w:pos="28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т газопровода среднего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=219 мм </w:t>
            </w:r>
            <w:r/>
          </w:p>
          <w:p>
            <w:pPr>
              <w:pStyle w:val="281"/>
              <w:numPr>
                <w:ilvl w:val="0"/>
                <w:numId w:val="35"/>
              </w:numPr>
              <w:ind w:left="46" w:firstLine="0"/>
              <w:spacing w:lineRule="auto" w:line="240"/>
              <w:tabs>
                <w:tab w:val="left" w:pos="28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газопровода высокого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=530 мм (ГРП-32)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350 м3/час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 xml:space="preserve">0,5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1,8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.3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ВНС микрорайона Северный Рудник со строительством водопровода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250 м3/час. При мощности больше 250 м3/час – подключение по индивидуальному трафику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км от ВНС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.4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Строящийся напорный коллектор от </w:t>
            </w:r>
            <w:r>
              <w:rPr>
                <w:sz w:val="26"/>
                <w:szCs w:val="26"/>
              </w:rPr>
              <w:t xml:space="preserve">Вахрушевского</w:t>
            </w:r>
            <w:r>
              <w:rPr>
                <w:sz w:val="26"/>
                <w:szCs w:val="26"/>
              </w:rPr>
              <w:t xml:space="preserve"> жилого массива до ОСК «</w:t>
            </w:r>
            <w:r>
              <w:rPr>
                <w:sz w:val="26"/>
                <w:szCs w:val="26"/>
              </w:rPr>
              <w:t xml:space="preserve">Шелюгино</w:t>
            </w:r>
            <w:r>
              <w:rPr>
                <w:sz w:val="26"/>
                <w:szCs w:val="26"/>
              </w:rPr>
              <w:t xml:space="preserve">»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0,6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  <w:lang w:val="en-US"/>
              </w:rPr>
              <w:t xml:space="preserve">4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 округа </w:t>
            </w: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Телефон: 8(35139) 3-38-06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Адрес: г. Копейск, пр. Ильича, 6</w:t>
            </w: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  <w:lang w:val="en-US"/>
              </w:rPr>
              <w:t xml:space="preserve">muapb</w:t>
            </w:r>
            <w:r>
              <w:rPr>
                <w:sz w:val="26"/>
                <w:szCs w:val="26"/>
              </w:rPr>
              <w:t xml:space="preserve">@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ru</w:t>
            </w:r>
            <w:r/>
          </w:p>
        </w:tc>
      </w:tr>
      <w:tr>
        <w:trPr/>
        <w:tc>
          <w:tcPr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15</w:t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преференций</w:t>
            </w:r>
            <w:r/>
          </w:p>
        </w:tc>
        <w:tc>
          <w:tcPr>
            <w:tcW w:w="4229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Возможно снижение стоимости аренды на основании отчета рыночной  стоимости земельного участка. С вводом объекта в эксплуатацию выкупная стоимость земельного участка составит 20% от кадастровой стоимости для субъектов малого и</w:t>
            </w:r>
            <w:r>
              <w:rPr>
                <w:sz w:val="26"/>
                <w:szCs w:val="26"/>
              </w:rPr>
              <w:t xml:space="preserve"> среднего предпринимательства. </w:t>
            </w:r>
            <w:r>
              <w:rPr>
                <w:sz w:val="26"/>
                <w:szCs w:val="26"/>
              </w:rPr>
              <w:t xml:space="preserve">Для иных - 30 %</w:t>
            </w:r>
            <w:r>
              <w:rPr>
                <w:sz w:val="26"/>
                <w:szCs w:val="26"/>
              </w:rPr>
              <w:t xml:space="preserve"> </w:t>
            </w:r>
            <w:r/>
          </w:p>
        </w:tc>
      </w:tr>
    </w:tbl>
    <w:p>
      <w:pPr>
        <w:spacing w:lineRule="auto" w:line="240" w:after="0"/>
        <w:rPr>
          <w:rFonts w:ascii="Cambria" w:hAnsi="Cambria" w:cs="Cambria" w:eastAsia="Times New Roman"/>
          <w:b/>
          <w:bCs/>
          <w:color w:val="4F81BD"/>
          <w:lang w:eastAsia="ru-RU"/>
        </w:rPr>
      </w:pPr>
      <w:r>
        <w:rPr>
          <w:rFonts w:ascii="Cambria" w:hAnsi="Cambria" w:cs="Cambria" w:eastAsia="Times New Roman"/>
          <w:b/>
          <w:bCs/>
          <w:color w:val="4F81BD"/>
          <w:lang w:eastAsia="ru-RU"/>
        </w:rPr>
      </w:r>
      <w:r/>
    </w:p>
    <w:p>
      <w:pPr>
        <w:pStyle w:val="270"/>
        <w:spacing w:lineRule="auto" w:line="240" w:before="0"/>
        <w:rPr>
          <w:rFonts w:eastAsia="Times New Roman"/>
          <w:lang w:val="en-US" w:eastAsia="ru-RU"/>
        </w:rPr>
      </w:pPr>
      <w:r/>
      <w:bookmarkStart w:id="467" w:name="_Toc73373351"/>
      <w:r>
        <w:rPr>
          <w:rFonts w:eastAsia="Times New Roman"/>
          <w:lang w:eastAsia="ru-RU"/>
        </w:rPr>
        <w:t xml:space="preserve">Площадка</w:t>
      </w:r>
      <w:r>
        <w:rPr>
          <w:rFonts w:eastAsia="Times New Roman"/>
          <w:lang w:val="en-US" w:eastAsia="ru-RU"/>
        </w:rPr>
        <w:t xml:space="preserve"> 2</w:t>
      </w:r>
      <w:bookmarkEnd w:id="467"/>
      <w:r/>
      <w:r/>
    </w:p>
    <w:tbl>
      <w:tblPr>
        <w:tblW w:w="935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6"/>
        <w:gridCol w:w="3830"/>
        <w:gridCol w:w="482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Ермака, 77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74:30:0201020:318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административное.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пункта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1790,0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0,03 </w:t>
            </w:r>
            <w:r>
              <w:rPr>
                <w:sz w:val="26"/>
                <w:szCs w:val="26"/>
              </w:rPr>
              <w:t xml:space="preserve">от железнодорожной ветки, идущей на битумный завод, с выходом в районе ст. </w:t>
            </w:r>
            <w:r>
              <w:rPr>
                <w:sz w:val="26"/>
                <w:szCs w:val="26"/>
              </w:rPr>
              <w:t xml:space="preserve">Козырево</w:t>
            </w:r>
            <w:r>
              <w:rPr>
                <w:sz w:val="26"/>
                <w:szCs w:val="26"/>
              </w:rPr>
              <w:t xml:space="preserve"> на дорогу ЮУЖД ОАО РЖД)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0,05  (до автодороги «Обход                                   </w:t>
            </w:r>
            <w:r/>
            <w:r>
              <w:rPr>
                <w:sz w:val="26"/>
                <w:szCs w:val="26"/>
              </w:rPr>
              <w:t xml:space="preserve">г. Челябинска» с дальнейшим выходом на федеральные автодороги в трех направлениях: Уфа-Москва, Омск-Новосибирск-Иркутск, Троицк-Казахстан)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ЛЭП-10 </w:t>
            </w:r>
            <w:r>
              <w:rPr>
                <w:sz w:val="26"/>
                <w:szCs w:val="26"/>
              </w:rPr>
              <w:t xml:space="preserve">кВ</w:t>
            </w:r>
            <w:r>
              <w:rPr>
                <w:sz w:val="26"/>
                <w:szCs w:val="26"/>
              </w:rPr>
              <w:t xml:space="preserve">, идущая вдоль железной дороги при условии получения ТУ на дополнительную мощность в </w:t>
            </w:r>
            <w:r>
              <w:rPr>
                <w:sz w:val="26"/>
                <w:szCs w:val="26"/>
              </w:rPr>
              <w:t xml:space="preserve">Желдорэнерго</w:t>
            </w:r>
            <w:r>
              <w:rPr>
                <w:sz w:val="26"/>
                <w:szCs w:val="26"/>
              </w:rPr>
              <w:t xml:space="preserve">) 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 ВЛ-110 </w:t>
            </w:r>
            <w:r>
              <w:rPr>
                <w:sz w:val="26"/>
                <w:szCs w:val="26"/>
              </w:rPr>
              <w:t xml:space="preserve">кВ</w:t>
            </w:r>
            <w:r>
              <w:rPr>
                <w:sz w:val="26"/>
                <w:szCs w:val="26"/>
              </w:rPr>
              <w:t xml:space="preserve"> со строительством ПС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от </w:t>
            </w:r>
            <w:r>
              <w:rPr>
                <w:sz w:val="26"/>
                <w:szCs w:val="26"/>
              </w:rPr>
              <w:t xml:space="preserve">когенерационной</w:t>
            </w:r>
            <w:r>
              <w:rPr>
                <w:sz w:val="26"/>
                <w:szCs w:val="26"/>
              </w:rPr>
              <w:t xml:space="preserve"> установки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МВт (с возможностью увеличения) = 600 </w:t>
            </w:r>
            <w:r>
              <w:rPr>
                <w:sz w:val="26"/>
                <w:szCs w:val="26"/>
              </w:rPr>
              <w:t xml:space="preserve">кВ</w:t>
            </w:r>
            <w:r>
              <w:rPr>
                <w:sz w:val="26"/>
                <w:szCs w:val="26"/>
              </w:rPr>
              <w:t xml:space="preserve"> на время строительства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 газопровода среднего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=219 мм 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 газопровода высокого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=530 мм (ГРП-32)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700 м3/час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0,5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1,8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ВНС микрорайона Северный Рудник со строительством водопровода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250 м3/час.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 мощности больше 250 м3/час- подключение по индивидуальному тарифу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км от ВНС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Строящийся напорный коллектор от </w:t>
            </w:r>
            <w:r>
              <w:rPr>
                <w:sz w:val="26"/>
                <w:szCs w:val="26"/>
              </w:rPr>
              <w:t xml:space="preserve">Вахрушевского</w:t>
            </w:r>
            <w:r>
              <w:rPr>
                <w:sz w:val="26"/>
                <w:szCs w:val="26"/>
              </w:rPr>
              <w:t xml:space="preserve"> жилого массива до ОСК «</w:t>
            </w:r>
            <w:r>
              <w:rPr>
                <w:sz w:val="26"/>
                <w:szCs w:val="26"/>
              </w:rPr>
              <w:t xml:space="preserve">Шелюгино</w:t>
            </w:r>
            <w:r>
              <w:rPr>
                <w:sz w:val="26"/>
                <w:szCs w:val="26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Телефон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35139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38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06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Адрес: г. Копейск, пр. Ильича, 6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muapb</w:t>
            </w:r>
            <w:r>
              <w:rPr>
                <w:sz w:val="26"/>
                <w:szCs w:val="26"/>
              </w:rPr>
              <w:t xml:space="preserve">@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ru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преференций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 снижение стоимости аренды на основании отчета рыночной  стоимости земельного участка. С вводом объекта в эксплуатацию выкупная стоимость земельного участка составит 20% от кадастровой стоимости для субъектов малого и</w:t>
            </w:r>
            <w:r>
              <w:rPr>
                <w:sz w:val="26"/>
                <w:szCs w:val="26"/>
              </w:rPr>
              <w:t xml:space="preserve"> среднего предпринимательства.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иных - 30 %  </w:t>
            </w:r>
            <w:r/>
          </w:p>
        </w:tc>
      </w:tr>
    </w:tbl>
    <w:p>
      <w:pPr>
        <w:pStyle w:val="270"/>
        <w:spacing w:lineRule="auto" w:line="240" w:before="0"/>
        <w:rPr>
          <w:rFonts w:eastAsia="Times New Roman"/>
          <w:lang w:eastAsia="ru-RU"/>
        </w:rPr>
      </w:pPr>
      <w:r/>
      <w:bookmarkStart w:id="468" w:name="_Toc513726087"/>
      <w:r/>
      <w:r/>
    </w:p>
    <w:p>
      <w:pPr>
        <w:pStyle w:val="270"/>
        <w:spacing w:lineRule="auto" w:line="240" w:before="0"/>
        <w:rPr>
          <w:rFonts w:eastAsia="Times New Roman"/>
          <w:lang w:eastAsia="ru-RU"/>
        </w:rPr>
      </w:pPr>
      <w:r/>
      <w:bookmarkStart w:id="469" w:name="_Toc73373352"/>
      <w:r>
        <w:rPr>
          <w:rFonts w:eastAsia="Times New Roman"/>
          <w:lang w:eastAsia="ru-RU"/>
        </w:rPr>
        <w:t xml:space="preserve">Площадка 3</w:t>
      </w:r>
      <w:bookmarkEnd w:id="469"/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2"/>
        <w:gridCol w:w="3852"/>
        <w:gridCol w:w="480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Ориентировочно в 400 м севернее </w:t>
            </w:r>
            <w:r>
              <w:rPr>
                <w:sz w:val="26"/>
                <w:szCs w:val="26"/>
              </w:rPr>
              <w:t xml:space="preserve">промплощадки</w:t>
            </w:r>
            <w:r>
              <w:rPr>
                <w:sz w:val="26"/>
                <w:szCs w:val="26"/>
              </w:rPr>
              <w:t xml:space="preserve"> бывшей шахты «Центральная»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разграничена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</w:t>
            </w:r>
            <w:r>
              <w:rPr>
                <w:sz w:val="26"/>
                <w:szCs w:val="26"/>
              </w:rPr>
              <w:t xml:space="preserve">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</w:t>
            </w:r>
            <w:r>
              <w:rPr>
                <w:sz w:val="26"/>
                <w:szCs w:val="26"/>
              </w:rPr>
              <w:t xml:space="preserve">административное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пункта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9,1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1790,0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  (ООО «Погрузочно-транспортное управление» г. Коркино)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0,3 (от ул. Ленина), 0,95 (от а/д Центр-микрорайон шахты  Центральная)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ш. Капитальная через РП 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ш. «Центральная»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20,0 МВт (уточняется)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0,7-1,1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газопровода среднего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=219 мм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водопровода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=219 мм по</w:t>
            </w:r>
            <w:r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ул. Калинина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локальных очистных сооружений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Телефон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35139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38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06</w:t>
            </w: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muapb</w:t>
            </w:r>
            <w:r>
              <w:rPr>
                <w:sz w:val="26"/>
                <w:szCs w:val="26"/>
              </w:rPr>
              <w:t xml:space="preserve">@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ru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преференций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02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 снижение стоимости аренд</w:t>
            </w:r>
            <w:r>
              <w:rPr>
                <w:sz w:val="26"/>
                <w:szCs w:val="26"/>
              </w:rPr>
              <w:t xml:space="preserve">ы на основании отчета рыночной </w:t>
            </w:r>
            <w:r>
              <w:rPr>
                <w:sz w:val="26"/>
                <w:szCs w:val="26"/>
              </w:rPr>
              <w:t xml:space="preserve">стоимости земельного участка. С вводом объекта в эксплуатацию выкупная стоимость земельного участка составит 20% от кадастровой стоимости для субъектов малого и</w:t>
            </w:r>
            <w:r>
              <w:rPr>
                <w:sz w:val="26"/>
                <w:szCs w:val="26"/>
              </w:rPr>
              <w:t xml:space="preserve"> среднего предпринимательства. </w:t>
            </w:r>
            <w:r>
              <w:rPr>
                <w:sz w:val="26"/>
                <w:szCs w:val="26"/>
              </w:rPr>
              <w:t xml:space="preserve">Для иных - 30 %  </w:t>
            </w:r>
            <w:r/>
          </w:p>
        </w:tc>
      </w:tr>
    </w:tbl>
    <w:p>
      <w:pPr>
        <w:jc w:val="both"/>
        <w:rPr>
          <w:szCs w:val="28"/>
        </w:rPr>
      </w:pPr>
      <w:r>
        <w:rPr>
          <w:szCs w:val="28"/>
          <w:lang w:val="en-US"/>
        </w:rPr>
        <w:t xml:space="preserve">       </w:t>
      </w:r>
      <w:r/>
    </w:p>
    <w:p>
      <w:pPr>
        <w:pStyle w:val="270"/>
        <w:spacing w:lineRule="auto" w:line="240"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Площадка 4</w:t>
      </w:r>
      <w:r/>
    </w:p>
    <w:tbl>
      <w:tblPr>
        <w:tblW w:w="935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6"/>
        <w:gridCol w:w="3830"/>
        <w:gridCol w:w="482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Западнее земельного участка с кадастровым номером 74:30:0804003:65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разграничена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административное.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</w:t>
            </w:r>
            <w:r>
              <w:rPr>
                <w:sz w:val="26"/>
                <w:szCs w:val="26"/>
              </w:rPr>
              <w:t xml:space="preserve">использования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3,5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пункта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5,2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270,0 км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1760,0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1,5 (ООО «Погрузочно – транспортное управление» г. Коркино) с выходом на дорогу РЖД в районе г. Коркино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0,015  (до автодороги «Обход</w:t>
            </w:r>
            <w:r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г. Челябинска» с дальнейшим выходом на федеральные автодороги в трех направлениях: Уфа-Москва, Омск-Новосибирск-Иркутск, Троицк-Казахстан)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«Октябрьская»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МВт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Ориентировочно 3,5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 газопровода высокого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=425 мм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 газопровода высокого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=1000 мм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700 м3/час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0,25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скважина</w:t>
            </w:r>
            <w:r/>
          </w:p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 проектируемого водовода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=225 мм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250 м3/час.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 мощности больше 250 м3/час- подключение по индивидуальному тарифу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1,5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локальных очистных сооружений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Телефон 8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35139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38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06</w:t>
            </w:r>
            <w:r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Адрес: г. Копейск, пр. Ильича</w:t>
            </w:r>
            <w:r>
              <w:rPr>
                <w:sz w:val="26"/>
                <w:szCs w:val="26"/>
                <w:lang w:val="en-US"/>
              </w:rPr>
              <w:t xml:space="preserve">, 6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 xml:space="preserve">E-mail: muapb@mail.ru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преференций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Возможно снижение стоимости аренды на основании отчета рыночной  стоимости земельного участка. С вводом объекта в эксплуатацию выкупная стоимость земельного участка составит 20% от кадастровой стоимости для субъектов малого </w:t>
            </w:r>
            <w:r>
              <w:rPr>
                <w:sz w:val="26"/>
                <w:szCs w:val="26"/>
              </w:rPr>
              <w:t xml:space="preserve">и среднего предпринимательства. </w:t>
            </w:r>
            <w:r>
              <w:rPr>
                <w:sz w:val="26"/>
                <w:szCs w:val="26"/>
              </w:rPr>
              <w:t xml:space="preserve">Для иных - 30 %  </w:t>
            </w:r>
            <w:r/>
          </w:p>
        </w:tc>
      </w:tr>
    </w:tbl>
    <w:p>
      <w:pPr>
        <w:jc w:val="both"/>
        <w:rPr>
          <w:szCs w:val="28"/>
        </w:rPr>
      </w:pPr>
      <w:r>
        <w:rPr>
          <w:szCs w:val="28"/>
        </w:rPr>
      </w:r>
      <w:r/>
    </w:p>
    <w:p>
      <w:r/>
      <w:r/>
    </w:p>
    <w:p>
      <w:pPr>
        <w:spacing w:lineRule="auto" w:line="240" w:after="0"/>
        <w:rPr>
          <w:rFonts w:ascii="Cambria" w:hAnsi="Cambria" w:cs="Cambria" w:eastAsia="Times New Roman"/>
          <w:bCs/>
          <w:color w:val="4F81BD"/>
          <w:lang w:eastAsia="ru-RU"/>
        </w:rPr>
      </w:pPr>
      <w:r>
        <w:rPr>
          <w:rFonts w:eastAsia="Times New Roman"/>
          <w:b/>
          <w:lang w:eastAsia="ru-RU"/>
        </w:rPr>
        <w:br w:type="page"/>
      </w:r>
      <w:r/>
    </w:p>
    <w:p>
      <w:pPr>
        <w:pStyle w:val="269"/>
      </w:pPr>
      <w:r/>
      <w:bookmarkStart w:id="470" w:name="_Toc73373353"/>
      <w:r/>
      <w:bookmarkEnd w:id="468"/>
      <w:r>
        <w:t xml:space="preserve">Сведения о свободных промышленных площадках (</w:t>
      </w:r>
      <w:r>
        <w:t xml:space="preserve">браунфилд</w:t>
      </w:r>
      <w:r>
        <w:t xml:space="preserve">)</w:t>
      </w:r>
      <w:bookmarkEnd w:id="470"/>
      <w:r/>
      <w:r/>
    </w:p>
    <w:p>
      <w:pPr>
        <w:spacing w:lineRule="auto" w:line="240" w:after="0"/>
        <w:shd w:val="clear" w:color="auto" w:fill="FFFFFF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  <w:r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r>
      <w:r/>
    </w:p>
    <w:p>
      <w:pPr>
        <w:pStyle w:val="270"/>
        <w:spacing w:lineRule="auto" w:line="240" w:before="0"/>
        <w:rPr>
          <w:rFonts w:eastAsia="Times New Roman"/>
          <w:lang w:eastAsia="ru-RU"/>
        </w:rPr>
      </w:pPr>
      <w:r/>
      <w:bookmarkStart w:id="471" w:name="_Toc73373354"/>
      <w:r>
        <w:rPr>
          <w:rFonts w:eastAsia="Times New Roman"/>
          <w:lang w:eastAsia="ru-RU"/>
        </w:rPr>
        <w:t xml:space="preserve">Площадка 1</w:t>
      </w:r>
      <w:bookmarkEnd w:id="471"/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1"/>
        <w:gridCol w:w="3835"/>
        <w:gridCol w:w="482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Промплощадка</w:t>
            </w:r>
            <w:r>
              <w:rPr>
                <w:sz w:val="26"/>
                <w:szCs w:val="26"/>
              </w:rPr>
              <w:t xml:space="preserve"> бывшей шахты «Капитальная»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74:30:0601003:8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федеральная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 участка (аренда, продажа)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</w:t>
            </w:r>
            <w:bookmarkStart w:id="472" w:name="_GoBack"/>
            <w:r/>
            <w:bookmarkEnd w:id="472"/>
            <w:r>
              <w:rPr>
                <w:sz w:val="26"/>
                <w:szCs w:val="26"/>
              </w:rPr>
              <w:t xml:space="preserve">та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1790,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0,8  (ООО «Погрузочно –транспортное управление»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Коркино)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0,02 (до автодороги Центр-</w:t>
            </w:r>
            <w:r>
              <w:rPr>
                <w:sz w:val="26"/>
                <w:szCs w:val="26"/>
              </w:rPr>
              <w:t xml:space="preserve">Бажово</w:t>
            </w:r>
            <w:r>
              <w:rPr>
                <w:sz w:val="26"/>
                <w:szCs w:val="26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ш. Капитальная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1,0 МВт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Граничит с площадкой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газопровода высокого давления (1,2 МПа) от ул. Мечникова до ул. Мира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Ориентировочно 350 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водопровода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=200 мм, идущего на </w:t>
            </w:r>
            <w:r>
              <w:rPr>
                <w:sz w:val="26"/>
                <w:szCs w:val="26"/>
              </w:rPr>
              <w:t xml:space="preserve">Бажовский</w:t>
            </w:r>
            <w:r>
              <w:rPr>
                <w:sz w:val="26"/>
                <w:szCs w:val="26"/>
              </w:rPr>
              <w:t xml:space="preserve"> жилой массив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Ориентировочно 370 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локальных очистных сооружений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3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Телефон: 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35139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61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98</w:t>
            </w: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 </w:t>
            </w:r>
            <w:hyperlink r:id="rId10" w:history="1">
              <w:r>
                <w:rPr>
                  <w:rStyle w:val="292"/>
                  <w:sz w:val="26"/>
                  <w:szCs w:val="26"/>
                  <w:lang w:val="en-US"/>
                </w:rPr>
                <w:t xml:space="preserve">muapb</w:t>
              </w:r>
              <w:r>
                <w:rPr>
                  <w:rStyle w:val="292"/>
                  <w:sz w:val="26"/>
                  <w:szCs w:val="26"/>
                </w:rPr>
                <w:t xml:space="preserve">@</w:t>
              </w:r>
              <w:r>
                <w:rPr>
                  <w:rStyle w:val="292"/>
                  <w:sz w:val="26"/>
                  <w:szCs w:val="26"/>
                  <w:lang w:val="en-US"/>
                </w:rPr>
                <w:t xml:space="preserve">mail</w:t>
              </w:r>
              <w:r>
                <w:rPr>
                  <w:rStyle w:val="292"/>
                  <w:sz w:val="26"/>
                  <w:szCs w:val="26"/>
                </w:rPr>
                <w:t xml:space="preserve">.</w:t>
              </w:r>
              <w:r>
                <w:rPr>
                  <w:rStyle w:val="292"/>
                  <w:sz w:val="26"/>
                  <w:szCs w:val="26"/>
                  <w:lang w:val="en-US"/>
                </w:rPr>
                <w:t xml:space="preserve">ru</w:t>
              </w:r>
            </w:hyperlink>
            <w:r/>
            <w:r/>
          </w:p>
        </w:tc>
      </w:tr>
    </w:tbl>
    <w:p>
      <w:pPr>
        <w:pStyle w:val="270"/>
        <w:spacing w:lineRule="auto" w:line="240"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  <w:r/>
    </w:p>
    <w:p>
      <w:pPr>
        <w:pStyle w:val="270"/>
        <w:spacing w:lineRule="auto" w:line="240" w:before="0"/>
        <w:rPr>
          <w:rFonts w:eastAsia="Times New Roman"/>
          <w:lang w:eastAsia="ru-RU"/>
        </w:rPr>
      </w:pPr>
      <w:r/>
      <w:bookmarkStart w:id="473" w:name="_Toc73373355"/>
      <w:r>
        <w:rPr>
          <w:rFonts w:eastAsia="Times New Roman"/>
          <w:lang w:eastAsia="ru-RU"/>
        </w:rPr>
        <w:t xml:space="preserve">Площадка 2</w:t>
      </w:r>
      <w:bookmarkEnd w:id="473"/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2"/>
        <w:gridCol w:w="3993"/>
        <w:gridCol w:w="476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Промплощадка</w:t>
            </w:r>
            <w:r>
              <w:rPr>
                <w:sz w:val="26"/>
                <w:szCs w:val="26"/>
              </w:rPr>
              <w:t xml:space="preserve"> бывшей шахты «Центральная»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74:30:0104036:10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Федеральная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пункта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9,1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1790,0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 (ПТУ ОАО по добыче угля «Челябинская угольная компания»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0,95 (от а/д Центр-микрорайон ш. Центральная)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ш. Капитальная через РП ш. «Центральная» ОАО «АЭС Инвест»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20,0 МВт (уточняется)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газопровода среднего давления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=219 мм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водопровода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=300 мм, идущего с ул. </w:t>
            </w:r>
            <w:r>
              <w:rPr>
                <w:sz w:val="26"/>
                <w:szCs w:val="26"/>
              </w:rPr>
              <w:t xml:space="preserve">Федячкина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локальных очистных сооружений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Телефон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(351</w:t>
            </w:r>
            <w:r>
              <w:rPr>
                <w:sz w:val="26"/>
                <w:szCs w:val="26"/>
              </w:rPr>
              <w:t xml:space="preserve">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61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98</w:t>
            </w: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 </w:t>
            </w:r>
            <w:hyperlink r:id="rId11" w:history="1">
              <w:r>
                <w:rPr>
                  <w:rStyle w:val="292"/>
                  <w:sz w:val="26"/>
                  <w:szCs w:val="26"/>
                  <w:lang w:val="en-US"/>
                </w:rPr>
                <w:t xml:space="preserve">muapb</w:t>
              </w:r>
              <w:r>
                <w:rPr>
                  <w:rStyle w:val="292"/>
                  <w:sz w:val="26"/>
                  <w:szCs w:val="26"/>
                </w:rPr>
                <w:t xml:space="preserve">@</w:t>
              </w:r>
              <w:r>
                <w:rPr>
                  <w:rStyle w:val="292"/>
                  <w:sz w:val="26"/>
                  <w:szCs w:val="26"/>
                  <w:lang w:val="en-US"/>
                </w:rPr>
                <w:t xml:space="preserve">mail</w:t>
              </w:r>
              <w:r>
                <w:rPr>
                  <w:rStyle w:val="292"/>
                  <w:sz w:val="26"/>
                  <w:szCs w:val="26"/>
                </w:rPr>
                <w:t xml:space="preserve">.</w:t>
              </w:r>
              <w:r>
                <w:rPr>
                  <w:rStyle w:val="292"/>
                  <w:sz w:val="26"/>
                  <w:szCs w:val="26"/>
                  <w:lang w:val="en-US"/>
                </w:rPr>
                <w:t xml:space="preserve">ru</w:t>
              </w:r>
            </w:hyperlink>
            <w:r/>
            <w:r/>
          </w:p>
        </w:tc>
      </w:tr>
    </w:tbl>
    <w:p>
      <w:pPr>
        <w:pStyle w:val="270"/>
        <w:spacing w:lineRule="auto" w:line="240" w:befor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  <w:r/>
    </w:p>
    <w:p>
      <w:pPr>
        <w:pStyle w:val="270"/>
        <w:spacing w:lineRule="auto" w:line="240" w:before="0"/>
        <w:rPr>
          <w:rFonts w:eastAsia="Times New Roman"/>
          <w:lang w:eastAsia="ru-RU"/>
        </w:rPr>
      </w:pPr>
      <w:r/>
      <w:bookmarkStart w:id="474" w:name="_Toc73373356"/>
      <w:r>
        <w:rPr>
          <w:rFonts w:eastAsia="Times New Roman"/>
          <w:lang w:eastAsia="ru-RU"/>
        </w:rPr>
        <w:t xml:space="preserve">Площадка 3</w:t>
      </w:r>
      <w:bookmarkEnd w:id="474"/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00"/>
        <w:gridCol w:w="3932"/>
        <w:gridCol w:w="483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center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 свободной промышленной площадки, 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Промплощадка</w:t>
            </w:r>
            <w:r>
              <w:rPr>
                <w:sz w:val="26"/>
                <w:szCs w:val="26"/>
              </w:rPr>
              <w:t xml:space="preserve"> бывшей шахты «Комсомольская»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74:30:0000000:7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разрешенного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Федеральная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Потенциально возможное назначение использования площадей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Производственное, складское, административное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вид использования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Аренда, продажа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км: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ближайшего населенного пункта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районного центра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Челябинска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Уфы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Екатеринбурга</w:t>
            </w:r>
            <w:r/>
          </w:p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г.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9,1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240,0 км</w:t>
            </w:r>
            <w:r/>
          </w:p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1790,0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железной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(ООО «Погрузочно-транспортное управление»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Коркино)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автомобильной дороги,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0,5-от а/дороги </w:t>
            </w:r>
            <w:r>
              <w:rPr>
                <w:sz w:val="26"/>
                <w:szCs w:val="26"/>
              </w:rPr>
              <w:t xml:space="preserve">Бажово-Старокамышинск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ближайшего аэропорта,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33,6 км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энергоснабжения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ш. «Комсомольская»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мощность, МВт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1,0 МВт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газоснабжения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газопровода высокого давления, проходящего в западной части </w:t>
            </w:r>
            <w:r>
              <w:rPr>
                <w:sz w:val="26"/>
                <w:szCs w:val="26"/>
              </w:rPr>
              <w:t xml:space="preserve">Старокамышинского</w:t>
            </w:r>
            <w:r>
              <w:rPr>
                <w:sz w:val="26"/>
                <w:szCs w:val="26"/>
              </w:rPr>
              <w:t xml:space="preserve"> жилого массива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водопровода 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=200 мм, идущего с ул. Алексеева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сетей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локальных очистных сооружений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мощность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r>
              <w:rPr>
                <w:sz w:val="26"/>
                <w:szCs w:val="26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235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администрации </w:t>
            </w:r>
            <w:r>
              <w:rPr>
                <w:sz w:val="26"/>
                <w:szCs w:val="26"/>
              </w:rPr>
              <w:t xml:space="preserve">Копейского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Телефон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35139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61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98</w:t>
            </w:r>
            <w:r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  <w:lang w:val="en-US"/>
              </w:rPr>
              <w:t xml:space="preserve">E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muapb</w:t>
            </w:r>
            <w:r>
              <w:rPr>
                <w:sz w:val="26"/>
                <w:szCs w:val="26"/>
              </w:rPr>
              <w:t xml:space="preserve">@</w:t>
            </w:r>
            <w:r>
              <w:rPr>
                <w:sz w:val="26"/>
                <w:szCs w:val="26"/>
                <w:lang w:val="en-US"/>
              </w:rPr>
              <w:t xml:space="preserve">mail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ru</w:t>
            </w:r>
            <w:r/>
          </w:p>
        </w:tc>
      </w:tr>
    </w:tbl>
    <w:p>
      <w:pPr>
        <w:jc w:val="both"/>
        <w:spacing w:after="0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  <w:r>
        <w:rPr>
          <w:rFonts w:eastAsia="Times New Roman"/>
          <w:bCs/>
          <w:color w:val="2D2D2D"/>
          <w:spacing w:val="2"/>
          <w:sz w:val="26"/>
          <w:szCs w:val="26"/>
          <w:lang w:eastAsia="ru-RU"/>
        </w:rPr>
        <w:t xml:space="preserve"> </w:t>
      </w:r>
      <w:r/>
    </w:p>
    <w:sectPr>
      <w:footerReference w:type="default" r:id="rId8"/>
      <w:footerReference w:type="even" r:id="rId9"/>
      <w:footnotePr/>
      <w:type w:val="nextPage"/>
      <w:pgSz w:w="11906" w:h="16838" w:orient="portrait"/>
      <w:pgMar w:top="992" w:right="851" w:bottom="851" w:left="1701" w:header="709" w:footer="403" w:gutter="0"/>
      <w:pgBorders w:display="allPages" w:offsetFrom="page" w:zOrder="front">
        <w:bottom w:color="auto" w:space="24" w:sz="24" w:val="single"/>
        <w:left w:color="auto" w:space="24" w:sz="24" w:val="single"/>
        <w:right w:color="auto" w:space="24" w:sz="24" w:val="single"/>
        <w:top w:color="auto" w:space="24" w:sz="24" w:val="single"/>
      </w:pgBorders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4"/>
      <w:rPr>
        <w:rStyle w:val="289"/>
      </w:rPr>
      <w:framePr w:wrap="around" w:vAnchor="text" w:hAnchor="margin" w:xAlign="right" w:y="1"/>
    </w:pPr>
    <w:r>
      <w:rPr>
        <w:rStyle w:val="289"/>
      </w:rPr>
      <w:fldChar w:fldCharType="begin"/>
    </w:r>
    <w:r>
      <w:rPr>
        <w:rStyle w:val="289"/>
      </w:rPr>
      <w:instrText xml:space="preserve">PAGE  </w:instrText>
    </w:r>
    <w:r>
      <w:rPr>
        <w:rStyle w:val="289"/>
      </w:rPr>
      <w:fldChar w:fldCharType="separate"/>
    </w:r>
    <w:r>
      <w:rPr>
        <w:rStyle w:val="289"/>
      </w:rPr>
      <w:t xml:space="preserve">61</w:t>
    </w:r>
    <w:r>
      <w:rPr>
        <w:rStyle w:val="289"/>
      </w:rPr>
      <w:fldChar w:fldCharType="end"/>
    </w:r>
    <w:r/>
  </w:p>
  <w:p>
    <w:pPr>
      <w:pStyle w:val="284"/>
      <w:ind w:right="360"/>
      <w:jc w:val="center"/>
      <w:rPr>
        <w:sz w:val="20"/>
        <w:szCs w:val="20"/>
      </w:rPr>
    </w:pPr>
    <w:r>
      <w:rPr>
        <w:sz w:val="20"/>
        <w:szCs w:val="20"/>
      </w:rPr>
    </w:r>
    <w:r/>
  </w:p>
  <w:p>
    <w:pPr>
      <w:pStyle w:val="2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4"/>
      <w:rPr>
        <w:rStyle w:val="289"/>
      </w:rPr>
      <w:framePr w:wrap="around" w:vAnchor="text" w:hAnchor="margin" w:xAlign="right" w:y="1"/>
    </w:pPr>
    <w:r>
      <w:rPr>
        <w:rStyle w:val="289"/>
      </w:rPr>
      <w:fldChar w:fldCharType="begin"/>
    </w:r>
    <w:r>
      <w:rPr>
        <w:rStyle w:val="289"/>
      </w:rPr>
      <w:instrText xml:space="preserve">PAGE  </w:instrText>
    </w:r>
    <w:r>
      <w:rPr>
        <w:rStyle w:val="289"/>
      </w:rPr>
      <w:fldChar w:fldCharType="end"/>
    </w:r>
    <w:r/>
  </w:p>
  <w:p>
    <w:pPr>
      <w:pStyle w:val="28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080" w:hanging="360"/>
      </w:pPr>
    </w:lvl>
    <w:lvl w:ilvl="2">
      <w:start w:val="1"/>
      <w:numFmt w:val="lowerRoman"/>
      <w:suff w:val="tab"/>
      <w:lvlText w:val="%3."/>
      <w:lvlJc w:val="right"/>
      <w:pPr>
        <w:ind w:left="1800" w:hanging="180"/>
      </w:p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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990" w:hanging="99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080" w:hanging="360"/>
      </w:pPr>
    </w:lvl>
    <w:lvl w:ilvl="2">
      <w:start w:val="1"/>
      <w:numFmt w:val="lowerRoman"/>
      <w:suff w:val="tab"/>
      <w:lvlText w:val="%3."/>
      <w:lvlJc w:val="right"/>
      <w:pPr>
        <w:ind w:left="1800" w:hanging="180"/>
      </w:p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suff w:val="tab"/>
      <w:lvlText w:val=""/>
      <w:lvlJc w:val="left"/>
      <w:pPr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suff w:val="tab"/>
      <w:lvlText w:val=""/>
      <w:lvlJc w:val="left"/>
      <w:pPr>
        <w:ind w:left="60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76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92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</w:lvl>
    <w:lvl w:ilvl="1">
      <w:start w:val="1"/>
      <w:numFmt w:val="lowerLetter"/>
      <w:suff w:val="tab"/>
      <w:lvlText w:val="%2."/>
      <w:lvlJc w:val="left"/>
      <w:pPr>
        <w:ind w:left="1582" w:hanging="360"/>
      </w:pPr>
    </w:lvl>
    <w:lvl w:ilvl="2">
      <w:start w:val="1"/>
      <w:numFmt w:val="lowerRoman"/>
      <w:suff w:val="tab"/>
      <w:lvlText w:val="%3."/>
      <w:lvlJc w:val="right"/>
      <w:pPr>
        <w:ind w:left="2302" w:hanging="180"/>
      </w:pPr>
    </w:lvl>
    <w:lvl w:ilvl="3">
      <w:start w:val="1"/>
      <w:numFmt w:val="decimal"/>
      <w:suff w:val="tab"/>
      <w:lvlText w:val="%4."/>
      <w:lvlJc w:val="left"/>
      <w:pPr>
        <w:ind w:left="3022" w:hanging="360"/>
      </w:pPr>
    </w:lvl>
    <w:lvl w:ilvl="4">
      <w:start w:val="1"/>
      <w:numFmt w:val="lowerLetter"/>
      <w:suff w:val="tab"/>
      <w:lvlText w:val="%5."/>
      <w:lvlJc w:val="left"/>
      <w:pPr>
        <w:ind w:left="3742" w:hanging="360"/>
      </w:pPr>
    </w:lvl>
    <w:lvl w:ilvl="5">
      <w:start w:val="1"/>
      <w:numFmt w:val="lowerRoman"/>
      <w:suff w:val="tab"/>
      <w:lvlText w:val="%6."/>
      <w:lvlJc w:val="right"/>
      <w:pPr>
        <w:ind w:left="4462" w:hanging="180"/>
      </w:pPr>
    </w:lvl>
    <w:lvl w:ilvl="6">
      <w:start w:val="1"/>
      <w:numFmt w:val="decimal"/>
      <w:suff w:val="tab"/>
      <w:lvlText w:val="%7."/>
      <w:lvlJc w:val="left"/>
      <w:pPr>
        <w:ind w:left="5182" w:hanging="360"/>
      </w:pPr>
    </w:lvl>
    <w:lvl w:ilvl="7">
      <w:start w:val="1"/>
      <w:numFmt w:val="lowerLetter"/>
      <w:suff w:val="tab"/>
      <w:lvlText w:val="%8."/>
      <w:lvlJc w:val="left"/>
      <w:pPr>
        <w:ind w:left="5902" w:hanging="360"/>
      </w:pPr>
    </w:lvl>
    <w:lvl w:ilvl="8">
      <w:start w:val="1"/>
      <w:numFmt w:val="lowerRoman"/>
      <w:suff w:val="tab"/>
      <w:lvlText w:val="%9."/>
      <w:lvlJc w:val="right"/>
      <w:pPr>
        <w:ind w:left="6622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suff w:val="tab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suff w:val="tab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suff w:val="tab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080" w:hanging="360"/>
      </w:pPr>
    </w:lvl>
    <w:lvl w:ilvl="2">
      <w:start w:val="1"/>
      <w:numFmt w:val="lowerRoman"/>
      <w:suff w:val="tab"/>
      <w:lvlText w:val="%3."/>
      <w:lvlJc w:val="right"/>
      <w:pPr>
        <w:ind w:left="1800" w:hanging="180"/>
      </w:p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suff w:val="tab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080" w:hanging="360"/>
      </w:pPr>
    </w:lvl>
    <w:lvl w:ilvl="2">
      <w:start w:val="1"/>
      <w:numFmt w:val="lowerRoman"/>
      <w:suff w:val="tab"/>
      <w:lvlText w:val="%3."/>
      <w:lvlJc w:val="right"/>
      <w:pPr>
        <w:ind w:left="1800" w:hanging="180"/>
      </w:p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33"/>
  </w:num>
  <w:num w:numId="5">
    <w:abstractNumId w:val="17"/>
  </w:num>
  <w:num w:numId="6">
    <w:abstractNumId w:val="26"/>
  </w:num>
  <w:num w:numId="7">
    <w:abstractNumId w:val="7"/>
  </w:num>
  <w:num w:numId="8">
    <w:abstractNumId w:val="35"/>
  </w:num>
  <w:num w:numId="9">
    <w:abstractNumId w:val="12"/>
  </w:num>
  <w:num w:numId="10">
    <w:abstractNumId w:val="11"/>
  </w:num>
  <w:num w:numId="11">
    <w:abstractNumId w:val="22"/>
  </w:num>
  <w:num w:numId="12">
    <w:abstractNumId w:val="23"/>
  </w:num>
  <w:num w:numId="13">
    <w:abstractNumId w:val="6"/>
  </w:num>
  <w:num w:numId="14">
    <w:abstractNumId w:val="30"/>
  </w:num>
  <w:num w:numId="15">
    <w:abstractNumId w:val="2"/>
  </w:num>
  <w:num w:numId="16">
    <w:abstractNumId w:val="25"/>
  </w:num>
  <w:num w:numId="17">
    <w:abstractNumId w:val="32"/>
  </w:num>
  <w:num w:numId="18">
    <w:abstractNumId w:val="14"/>
  </w:num>
  <w:num w:numId="19">
    <w:abstractNumId w:val="9"/>
  </w:num>
  <w:num w:numId="20">
    <w:abstractNumId w:val="10"/>
  </w:num>
  <w:num w:numId="21">
    <w:abstractNumId w:val="27"/>
  </w:num>
  <w:num w:numId="22">
    <w:abstractNumId w:val="0"/>
  </w:num>
  <w:num w:numId="23">
    <w:abstractNumId w:val="1"/>
  </w:num>
  <w:num w:numId="24">
    <w:abstractNumId w:val="24"/>
  </w:num>
  <w:num w:numId="25">
    <w:abstractNumId w:val="28"/>
  </w:num>
  <w:num w:numId="26">
    <w:abstractNumId w:val="15"/>
  </w:num>
  <w:num w:numId="27">
    <w:abstractNumId w:val="8"/>
  </w:num>
  <w:num w:numId="28">
    <w:abstractNumId w:val="18"/>
  </w:num>
  <w:num w:numId="29">
    <w:abstractNumId w:val="21"/>
  </w:num>
  <w:num w:numId="30">
    <w:abstractNumId w:val="3"/>
  </w:num>
  <w:num w:numId="31">
    <w:abstractNumId w:val="31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9"/>
  </w:num>
  <w:num w:numId="36">
    <w:abstractNumId w:val="14"/>
  </w:num>
  <w:num w:numId="37">
    <w:abstractNumId w:val="20"/>
  </w:num>
  <w:num w:numId="3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73"/>
    <w:link w:val="2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73"/>
    <w:link w:val="2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73"/>
    <w:link w:val="2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73"/>
    <w:link w:val="2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73"/>
    <w:link w:val="272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67"/>
    <w:next w:val="26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67"/>
    <w:next w:val="26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67"/>
    <w:next w:val="26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67"/>
    <w:next w:val="26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67"/>
    <w:next w:val="26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73"/>
    <w:link w:val="32"/>
    <w:uiPriority w:val="10"/>
    <w:rPr>
      <w:sz w:val="48"/>
      <w:szCs w:val="48"/>
    </w:rPr>
  </w:style>
  <w:style w:type="character" w:styleId="35">
    <w:name w:val="Subtitle Char"/>
    <w:basedOn w:val="273"/>
    <w:link w:val="313"/>
    <w:uiPriority w:val="11"/>
    <w:rPr>
      <w:sz w:val="24"/>
      <w:szCs w:val="24"/>
    </w:rPr>
  </w:style>
  <w:style w:type="paragraph" w:styleId="36">
    <w:name w:val="Quote"/>
    <w:basedOn w:val="267"/>
    <w:next w:val="26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67"/>
    <w:next w:val="26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73"/>
    <w:link w:val="282"/>
    <w:uiPriority w:val="99"/>
  </w:style>
  <w:style w:type="character" w:styleId="43">
    <w:name w:val="Footer Char"/>
    <w:basedOn w:val="273"/>
    <w:link w:val="284"/>
    <w:uiPriority w:val="99"/>
  </w:style>
  <w:style w:type="table" w:styleId="45">
    <w:name w:val="Lined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293"/>
    <w:uiPriority w:val="99"/>
    <w:rPr>
      <w:sz w:val="18"/>
    </w:rPr>
  </w:style>
  <w:style w:type="paragraph" w:styleId="267" w:default="1">
    <w:name w:val="Normal"/>
    <w:qFormat/>
    <w:rPr>
      <w:rFonts w:eastAsia="Calibri"/>
      <w:sz w:val="28"/>
      <w:szCs w:val="22"/>
    </w:rPr>
    <w:pPr>
      <w:spacing w:after="200"/>
    </w:pPr>
  </w:style>
  <w:style w:type="paragraph" w:styleId="268">
    <w:name w:val="Heading 1"/>
    <w:basedOn w:val="267"/>
    <w:next w:val="267"/>
    <w:link w:val="276"/>
    <w:qFormat/>
    <w:rPr>
      <w:rFonts w:ascii="Cambria" w:hAnsi="Cambria" w:cs="Cambria" w:eastAsia="Cambria"/>
      <w:b/>
      <w:bCs/>
      <w:color w:val="365F91" w:themeColor="accent1" w:themeShade="BF"/>
      <w:szCs w:val="28"/>
    </w:rPr>
    <w:pPr>
      <w:keepLines/>
      <w:keepNext/>
      <w:spacing w:after="0" w:before="480"/>
      <w:outlineLvl w:val="0"/>
    </w:pPr>
  </w:style>
  <w:style w:type="paragraph" w:styleId="269">
    <w:name w:val="Heading 2"/>
    <w:basedOn w:val="267"/>
    <w:next w:val="267"/>
    <w:link w:val="277"/>
    <w:qFormat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270">
    <w:name w:val="Heading 3"/>
    <w:basedOn w:val="267"/>
    <w:next w:val="267"/>
    <w:link w:val="278"/>
    <w:qFormat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271">
    <w:name w:val="Heading 4"/>
    <w:basedOn w:val="267"/>
    <w:next w:val="267"/>
    <w:link w:val="279"/>
    <w:qFormat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272">
    <w:name w:val="Heading 5"/>
    <w:basedOn w:val="267"/>
    <w:next w:val="267"/>
    <w:link w:val="280"/>
    <w:qFormat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character" w:styleId="273" w:default="1">
    <w:name w:val="Default Paragraph Font"/>
    <w:uiPriority w:val="1"/>
    <w:semiHidden/>
    <w:unhideWhenUsed/>
  </w:style>
  <w:style w:type="table" w:styleId="2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75" w:default="1">
    <w:name w:val="No List"/>
    <w:uiPriority w:val="99"/>
    <w:semiHidden/>
    <w:unhideWhenUsed/>
  </w:style>
  <w:style w:type="character" w:styleId="276" w:customStyle="1">
    <w:name w:val="Заголовок 1 Знак"/>
    <w:basedOn w:val="273"/>
    <w:link w:val="268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character" w:styleId="277" w:customStyle="1">
    <w:name w:val="Заголовок 2 Знак"/>
    <w:basedOn w:val="273"/>
    <w:link w:val="269"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character" w:styleId="278" w:customStyle="1">
    <w:name w:val="Заголовок 3 Знак"/>
    <w:basedOn w:val="273"/>
    <w:link w:val="270"/>
    <w:rPr>
      <w:rFonts w:ascii="Cambria" w:hAnsi="Cambria" w:cs="Cambria" w:eastAsia="Cambria"/>
      <w:b/>
      <w:bCs/>
      <w:color w:val="4F81BD" w:themeColor="accent1"/>
      <w:sz w:val="28"/>
      <w:szCs w:val="22"/>
    </w:rPr>
  </w:style>
  <w:style w:type="character" w:styleId="279" w:customStyle="1">
    <w:name w:val="Заголовок 4 Знак"/>
    <w:basedOn w:val="273"/>
    <w:link w:val="271"/>
    <w:rPr>
      <w:rFonts w:ascii="Cambria" w:hAnsi="Cambria" w:cs="Cambria" w:eastAsia="Cambria"/>
      <w:b/>
      <w:bCs/>
      <w:i/>
      <w:iCs/>
      <w:color w:val="4F81BD" w:themeColor="accent1"/>
      <w:sz w:val="28"/>
      <w:szCs w:val="22"/>
    </w:rPr>
  </w:style>
  <w:style w:type="character" w:styleId="280" w:customStyle="1">
    <w:name w:val="Заголовок 5 Знак"/>
    <w:basedOn w:val="273"/>
    <w:link w:val="272"/>
    <w:rPr>
      <w:rFonts w:ascii="Cambria" w:hAnsi="Cambria" w:cs="Cambria" w:eastAsia="Cambria"/>
      <w:color w:val="243F60" w:themeColor="accent1" w:themeShade="7F"/>
      <w:sz w:val="28"/>
      <w:szCs w:val="22"/>
    </w:rPr>
  </w:style>
  <w:style w:type="paragraph" w:styleId="281">
    <w:name w:val="List Paragraph"/>
    <w:basedOn w:val="267"/>
    <w:qFormat/>
    <w:pPr>
      <w:contextualSpacing w:val="true"/>
      <w:ind w:left="720"/>
    </w:pPr>
  </w:style>
  <w:style w:type="paragraph" w:styleId="282">
    <w:name w:val="Header"/>
    <w:basedOn w:val="267"/>
    <w:link w:val="283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83" w:customStyle="1">
    <w:name w:val="Верхний колонтитул Знак"/>
    <w:basedOn w:val="273"/>
    <w:link w:val="282"/>
    <w:uiPriority w:val="99"/>
    <w:rPr>
      <w:rFonts w:eastAsia="Calibri"/>
      <w:sz w:val="28"/>
      <w:szCs w:val="22"/>
    </w:rPr>
  </w:style>
  <w:style w:type="paragraph" w:styleId="284">
    <w:name w:val="Footer"/>
    <w:basedOn w:val="267"/>
    <w:link w:val="285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85" w:customStyle="1">
    <w:name w:val="Нижний колонтитул Знак"/>
    <w:basedOn w:val="273"/>
    <w:link w:val="284"/>
    <w:uiPriority w:val="99"/>
    <w:rPr>
      <w:rFonts w:eastAsia="Calibri"/>
      <w:sz w:val="28"/>
      <w:szCs w:val="22"/>
    </w:rPr>
  </w:style>
  <w:style w:type="table" w:styleId="286">
    <w:name w:val="Table Grid"/>
    <w:basedOn w:val="274"/>
    <w:uiPriority w:val="99"/>
    <w:rPr>
      <w:rFonts w:eastAsia="Calibri"/>
      <w:sz w:val="20"/>
      <w:lang w:eastAsia="ru-RU"/>
    </w:rPr>
    <w:pPr>
      <w:spacing w:lineRule="auto" w:line="24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87">
    <w:name w:val="Balloon Text"/>
    <w:basedOn w:val="267"/>
    <w:link w:val="288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88" w:customStyle="1">
    <w:name w:val="Текст выноски Знак"/>
    <w:basedOn w:val="273"/>
    <w:link w:val="287"/>
    <w:uiPriority w:val="99"/>
    <w:semiHidden/>
    <w:rPr>
      <w:rFonts w:ascii="Tahoma" w:hAnsi="Tahoma" w:cs="Tahoma" w:eastAsia="Calibri"/>
      <w:sz w:val="16"/>
      <w:szCs w:val="16"/>
    </w:rPr>
  </w:style>
  <w:style w:type="character" w:styleId="289">
    <w:name w:val="page number"/>
    <w:basedOn w:val="273"/>
    <w:uiPriority w:val="99"/>
    <w:rPr>
      <w:rFonts w:cs="Times New Roman"/>
    </w:rPr>
  </w:style>
  <w:style w:type="paragraph" w:styleId="290">
    <w:name w:val="toc 1"/>
    <w:basedOn w:val="267"/>
    <w:next w:val="267"/>
    <w:qFormat/>
    <w:uiPriority w:val="39"/>
  </w:style>
  <w:style w:type="paragraph" w:styleId="291">
    <w:name w:val="toc 2"/>
    <w:basedOn w:val="267"/>
    <w:next w:val="267"/>
    <w:qFormat/>
    <w:uiPriority w:val="39"/>
    <w:pPr>
      <w:spacing w:lineRule="auto" w:line="240" w:after="0"/>
      <w:tabs>
        <w:tab w:val="right" w:pos="9356" w:leader="dot"/>
      </w:tabs>
    </w:pPr>
  </w:style>
  <w:style w:type="character" w:styleId="292">
    <w:name w:val="Hyperlink"/>
    <w:basedOn w:val="273"/>
    <w:uiPriority w:val="99"/>
    <w:rPr>
      <w:rFonts w:cs="Times New Roman"/>
      <w:color w:val="0000FF"/>
      <w:u w:val="single"/>
    </w:rPr>
  </w:style>
  <w:style w:type="paragraph" w:styleId="293">
    <w:name w:val="footnote text"/>
    <w:basedOn w:val="267"/>
    <w:link w:val="294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294" w:customStyle="1">
    <w:name w:val="Текст сноски Знак"/>
    <w:basedOn w:val="273"/>
    <w:link w:val="293"/>
    <w:uiPriority w:val="99"/>
    <w:semiHidden/>
    <w:rPr>
      <w:rFonts w:eastAsia="Calibri"/>
      <w:sz w:val="20"/>
    </w:rPr>
  </w:style>
  <w:style w:type="character" w:styleId="295">
    <w:name w:val="footnote reference"/>
    <w:basedOn w:val="273"/>
    <w:uiPriority w:val="99"/>
    <w:semiHidden/>
    <w:unhideWhenUsed/>
    <w:rPr>
      <w:vertAlign w:val="superscript"/>
    </w:rPr>
  </w:style>
  <w:style w:type="character" w:styleId="296">
    <w:name w:val="Strong"/>
    <w:basedOn w:val="273"/>
    <w:qFormat/>
    <w:uiPriority w:val="22"/>
    <w:rPr>
      <w:b/>
      <w:bCs/>
    </w:rPr>
  </w:style>
  <w:style w:type="paragraph" w:styleId="297">
    <w:name w:val="Normal (Web)"/>
    <w:basedOn w:val="267"/>
    <w:uiPriority w:val="99"/>
    <w:unhideWhenUsed/>
    <w:rPr>
      <w:sz w:val="24"/>
      <w:szCs w:val="24"/>
    </w:rPr>
  </w:style>
  <w:style w:type="paragraph" w:styleId="298" w:customStyle="1">
    <w:name w:val="p5"/>
    <w:basedOn w:val="267"/>
    <w:rPr>
      <w:rFonts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99">
    <w:name w:val="toc 3"/>
    <w:basedOn w:val="267"/>
    <w:next w:val="267"/>
    <w:qFormat/>
    <w:uiPriority w:val="39"/>
    <w:unhideWhenUsed/>
    <w:rPr>
      <w:rFonts w:ascii="Calibri" w:hAnsi="Calibri" w:cs="Calibri" w:eastAsia="Calibri"/>
      <w:sz w:val="22"/>
      <w:lang w:eastAsia="ru-RU"/>
    </w:rPr>
    <w:pPr>
      <w:ind w:left="440" w:hanging="440"/>
      <w:spacing w:lineRule="auto" w:line="240" w:after="0"/>
      <w:tabs>
        <w:tab w:val="right" w:pos="9344" w:leader="dot"/>
      </w:tabs>
    </w:pPr>
  </w:style>
  <w:style w:type="paragraph" w:styleId="300">
    <w:name w:val="toc 4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660"/>
      <w:spacing w:after="100"/>
    </w:pPr>
  </w:style>
  <w:style w:type="paragraph" w:styleId="301">
    <w:name w:val="toc 5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880"/>
      <w:spacing w:after="100"/>
    </w:pPr>
  </w:style>
  <w:style w:type="paragraph" w:styleId="302">
    <w:name w:val="toc 6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1100"/>
      <w:spacing w:after="100"/>
    </w:pPr>
  </w:style>
  <w:style w:type="paragraph" w:styleId="303">
    <w:name w:val="toc 7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1320"/>
      <w:spacing w:after="100"/>
    </w:pPr>
  </w:style>
  <w:style w:type="paragraph" w:styleId="304">
    <w:name w:val="toc 8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1540"/>
      <w:spacing w:after="100"/>
    </w:pPr>
  </w:style>
  <w:style w:type="paragraph" w:styleId="305">
    <w:name w:val="toc 9"/>
    <w:basedOn w:val="267"/>
    <w:next w:val="267"/>
    <w:uiPriority w:val="39"/>
    <w:unhideWhenUsed/>
    <w:rPr>
      <w:rFonts w:ascii="Calibri" w:hAnsi="Calibri" w:cs="Calibri" w:eastAsia="Calibri"/>
      <w:sz w:val="22"/>
      <w:lang w:eastAsia="ru-RU"/>
    </w:rPr>
    <w:pPr>
      <w:ind w:left="1760"/>
      <w:spacing w:after="100"/>
    </w:pPr>
  </w:style>
  <w:style w:type="character" w:styleId="306" w:customStyle="1">
    <w:name w:val="apple-converted-space"/>
    <w:basedOn w:val="273"/>
  </w:style>
  <w:style w:type="paragraph" w:styleId="307">
    <w:name w:val="Body Text Indent"/>
    <w:basedOn w:val="267"/>
    <w:link w:val="308"/>
    <w:unhideWhenUsed/>
    <w:rPr>
      <w:rFonts w:eastAsia="Times New Roman"/>
      <w:sz w:val="24"/>
      <w:szCs w:val="24"/>
      <w:lang w:eastAsia="ru-RU"/>
    </w:rPr>
    <w:pPr>
      <w:ind w:firstLine="900"/>
      <w:spacing w:lineRule="auto" w:line="240" w:after="0"/>
    </w:pPr>
  </w:style>
  <w:style w:type="character" w:styleId="308" w:customStyle="1">
    <w:name w:val="Основной текст с отступом Знак"/>
    <w:basedOn w:val="273"/>
    <w:link w:val="307"/>
    <w:rPr>
      <w:szCs w:val="24"/>
      <w:lang w:eastAsia="ru-RU"/>
    </w:rPr>
  </w:style>
  <w:style w:type="paragraph" w:styleId="309">
    <w:name w:val="Body Text"/>
    <w:basedOn w:val="267"/>
    <w:link w:val="310"/>
    <w:uiPriority w:val="99"/>
    <w:semiHidden/>
    <w:unhideWhenUsed/>
    <w:pPr>
      <w:spacing w:after="120"/>
    </w:pPr>
  </w:style>
  <w:style w:type="character" w:styleId="310" w:customStyle="1">
    <w:name w:val="Основной текст Знак"/>
    <w:basedOn w:val="273"/>
    <w:link w:val="309"/>
    <w:uiPriority w:val="99"/>
    <w:semiHidden/>
    <w:rPr>
      <w:rFonts w:eastAsia="Calibri"/>
      <w:sz w:val="28"/>
      <w:szCs w:val="22"/>
    </w:rPr>
  </w:style>
  <w:style w:type="character" w:styleId="311">
    <w:name w:val="Emphasis"/>
    <w:basedOn w:val="273"/>
    <w:qFormat/>
    <w:uiPriority w:val="20"/>
    <w:rPr>
      <w:i/>
      <w:iCs/>
    </w:rPr>
  </w:style>
  <w:style w:type="paragraph" w:styleId="312">
    <w:name w:val="TOC Heading"/>
    <w:basedOn w:val="268"/>
    <w:next w:val="267"/>
    <w:qFormat/>
    <w:uiPriority w:val="39"/>
    <w:unhideWhenUsed/>
    <w:rPr>
      <w:lang w:eastAsia="ru-RU"/>
    </w:rPr>
    <w:pPr>
      <w:outlineLvl w:val="9"/>
    </w:pPr>
  </w:style>
  <w:style w:type="paragraph" w:styleId="313">
    <w:name w:val="Subtitle"/>
    <w:basedOn w:val="267"/>
    <w:next w:val="267"/>
    <w:link w:val="314"/>
    <w:qFormat/>
    <w:rPr>
      <w:rFonts w:ascii="Cambria" w:hAnsi="Cambria" w:cs="Cambria" w:eastAsia="Cambria"/>
      <w:i/>
      <w:iCs/>
      <w:color w:val="4F81BD" w:themeColor="accent1"/>
      <w:spacing w:val="15"/>
      <w:sz w:val="26"/>
      <w:szCs w:val="24"/>
    </w:rPr>
    <w:pPr>
      <w:numPr>
        <w:ilvl w:val="1"/>
      </w:numPr>
    </w:pPr>
  </w:style>
  <w:style w:type="character" w:styleId="314" w:customStyle="1">
    <w:name w:val="Подзаголовок Знак"/>
    <w:basedOn w:val="273"/>
    <w:link w:val="313"/>
    <w:rPr>
      <w:rFonts w:ascii="Cambria" w:hAnsi="Cambria" w:cs="Cambria" w:eastAsia="Cambria"/>
      <w:i/>
      <w:iCs/>
      <w:color w:val="4F81BD" w:themeColor="accent1"/>
      <w:spacing w:val="15"/>
      <w:sz w:val="26"/>
      <w:szCs w:val="24"/>
    </w:rPr>
  </w:style>
  <w:style w:type="paragraph" w:styleId="315" w:customStyle="1">
    <w:name w:val="Знак"/>
    <w:basedOn w:val="267"/>
    <w:rPr>
      <w:rFonts w:eastAsia="Times New Roman"/>
      <w:color w:val="000000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table" w:styleId="316">
    <w:name w:val="Light Grid Accent 4"/>
    <w:basedOn w:val="274"/>
    <w:uiPriority w:val="62"/>
    <w:rPr>
      <w:rFonts w:ascii="Calibri" w:hAnsi="Calibri" w:eastAsia="Calibri"/>
      <w:sz w:val="22"/>
      <w:szCs w:val="22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8064A2" w:sz="8" w:space="0" w:themeColor="accent4"/>
        <w:top w:val="single" w:color="8064A2" w:sz="8" w:space="0" w:themeColor="accent4"/>
        <w:right w:val="single" w:color="8064A2" w:sz="8" w:space="0" w:themeColor="accent4"/>
        <w:bottom w:val="single" w:color="8064A2" w:sz="8" w:space="0" w:themeColor="accent4"/>
        <w:insideV w:val="single" w:color="8064A2" w:sz="8" w:space="0" w:themeColor="accent4"/>
        <w:insideH w:val="single" w:color="8064A2" w:sz="8" w:space="0" w:themeColor="accent4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</w:tcBorders>
      </w:tcPr>
    </w:tblStylePr>
    <w:tblStylePr w:type="band1Vert">
      <w:tcPr>
        <w:shd w:val="clear" w:color="auto" w:fill="DFD8E8" w:themeFill="accent4" w:themeFillTint="3F"/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band2Horz"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</w:tcBorders>
      </w:tcPr>
    </w:tblStylePr>
    <w:tblStylePr w:type="firstCol">
      <w:rPr>
        <w:rFonts w:ascii="Cambria" w:hAnsi="Cambria" w:cs="Times New Roman" w:eastAsia="Times New Roman" w:hint="default"/>
        <w:b/>
        <w:bCs/>
      </w:rPr>
    </w:tblStylePr>
    <w:tblStylePr w:type="fir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18" w:space="0" w:themeColor="accent4"/>
          <w:insideV w:val="single" w:color="8064A2" w:sz="8" w:space="0" w:themeColor="accent4"/>
          <w:insideH w:val="none" w:color="000000" w:sz="4" w:space="0"/>
        </w:tcBorders>
      </w:tcPr>
    </w:tblStylePr>
    <w:tblStylePr w:type="lastCol">
      <w:rPr>
        <w:rFonts w:ascii="Cambria" w:hAnsi="Cambria" w:cs="Times New Roman" w:eastAsia="Times New Roman" w:hint="default"/>
        <w:b/>
        <w:bCs/>
      </w:rPr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la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 w:themeColor="accent4"/>
          <w:top w:val="single" w:color="8064A2" w:sz="6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  <w:insideH w:val="none" w:color="000000" w:sz="4" w:space="0"/>
        </w:tcBorders>
      </w:tcPr>
    </w:tblStylePr>
  </w:style>
  <w:style w:type="table" w:styleId="317" w:customStyle="1">
    <w:name w:val="Сетка таблицы1"/>
    <w:basedOn w:val="274"/>
    <w:next w:val="286"/>
    <w:uiPriority w:val="39"/>
    <w:rPr>
      <w:rFonts w:ascii="Calibri" w:hAnsi="Calibri" w:eastAsia="Calibri"/>
      <w:sz w:val="22"/>
      <w:szCs w:val="22"/>
    </w:rPr>
    <w:pPr>
      <w:spacing w:lineRule="auto" w:line="24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18" w:customStyle="1">
    <w:name w:val="Светлая сетка - Акцент 41"/>
    <w:basedOn w:val="274"/>
    <w:next w:val="316"/>
    <w:uiPriority w:val="62"/>
    <w:rPr>
      <w:rFonts w:ascii="Calibri" w:hAnsi="Calibri" w:eastAsia="Calibri"/>
      <w:sz w:val="22"/>
      <w:szCs w:val="22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8064A2" w:sz="8" w:space="0"/>
        <w:top w:val="single" w:color="8064A2" w:sz="8" w:space="0"/>
        <w:right w:val="single" w:color="8064A2" w:sz="8" w:space="0"/>
        <w:bottom w:val="single" w:color="8064A2" w:sz="8" w:space="0"/>
        <w:insideV w:val="single" w:color="8064A2" w:sz="8" w:space="0"/>
        <w:insideH w:val="single" w:color="8064A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  <w:insideV w:val="single" w:color="8064A2" w:sz="8" w:space="0"/>
        </w:tcBorders>
      </w:tcPr>
    </w:tblStylePr>
    <w:tblStylePr w:type="band1Vert">
      <w:tcPr>
        <w:shd w:val="clear" w:color="auto" w:fill="DFD8E8"/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</w:tcBorders>
      </w:tcPr>
    </w:tblStylePr>
    <w:tblStylePr w:type="band2Horz"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  <w:insideV w:val="single" w:color="8064A2" w:sz="8" w:space="0"/>
        </w:tcBorders>
      </w:tcPr>
    </w:tblStylePr>
    <w:tblStylePr w:type="firstCol">
      <w:rPr>
        <w:rFonts w:ascii="Cambria" w:hAnsi="Cambria" w:cs="Times New Roman" w:eastAsia="Times New Roman" w:hint="default"/>
        <w:b/>
        <w:bCs/>
      </w:rPr>
    </w:tblStylePr>
    <w:tblStylePr w:type="fir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18" w:space="0"/>
          <w:insideV w:val="single" w:color="8064A2" w:sz="8" w:space="0"/>
          <w:insideH w:val="none" w:color="000000" w:sz="4" w:space="0"/>
        </w:tcBorders>
      </w:tcPr>
    </w:tblStylePr>
    <w:tblStylePr w:type="lastCol">
      <w:rPr>
        <w:rFonts w:ascii="Cambria" w:hAnsi="Cambria" w:cs="Times New Roman" w:eastAsia="Times New Roman" w:hint="default"/>
        <w:b/>
        <w:bCs/>
      </w:rPr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</w:tcBorders>
      </w:tcPr>
    </w:tblStylePr>
    <w:tblStylePr w:type="la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/>
          <w:top w:val="single" w:color="8064A2" w:sz="6" w:space="0"/>
          <w:right w:val="single" w:color="8064A2" w:sz="8" w:space="0"/>
          <w:bottom w:val="single" w:color="8064A2" w:sz="8" w:space="0"/>
          <w:insideV w:val="single" w:color="8064A2" w:sz="8" w:space="0"/>
          <w:insideH w:val="none" w:color="000000" w:sz="4" w:space="0"/>
        </w:tcBorders>
      </w:tcPr>
    </w:tblStylePr>
  </w:style>
  <w:style w:type="paragraph" w:styleId="319" w:customStyle="1">
    <w:name w:val="Default"/>
    <w:rPr>
      <w:color w:val="000000"/>
      <w:szCs w:val="24"/>
    </w:rPr>
    <w:pPr>
      <w:spacing w:lineRule="auto" w:line="240"/>
    </w:pPr>
  </w:style>
  <w:style w:type="character" w:styleId="320" w:customStyle="1">
    <w:name w:val="tel-header"/>
    <w:basedOn w:val="273"/>
  </w:style>
  <w:style w:type="table" w:styleId="321" w:customStyle="1">
    <w:name w:val="Светлая сетка - Акцент 42"/>
    <w:basedOn w:val="274"/>
    <w:next w:val="316"/>
    <w:uiPriority w:val="62"/>
    <w:rPr>
      <w:rFonts w:ascii="Calibri" w:hAnsi="Calibri" w:eastAsia="Calibri"/>
      <w:sz w:val="22"/>
      <w:szCs w:val="22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8064A2" w:sz="8" w:space="0"/>
        <w:top w:val="single" w:color="8064A2" w:sz="8" w:space="0"/>
        <w:right w:val="single" w:color="8064A2" w:sz="8" w:space="0"/>
        <w:bottom w:val="single" w:color="8064A2" w:sz="8" w:space="0"/>
        <w:insideV w:val="single" w:color="8064A2" w:sz="8" w:space="0"/>
        <w:insideH w:val="single" w:color="8064A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  <w:insideV w:val="single" w:color="8064A2" w:sz="8" w:space="0"/>
        </w:tcBorders>
      </w:tcPr>
    </w:tblStylePr>
    <w:tblStylePr w:type="band1Vert">
      <w:tcPr>
        <w:shd w:val="clear" w:color="auto" w:fill="DFD8E8"/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</w:tcBorders>
      </w:tcPr>
    </w:tblStylePr>
    <w:tblStylePr w:type="band2Horz"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  <w:insideV w:val="single" w:color="8064A2" w:sz="8" w:space="0"/>
        </w:tcBorders>
      </w:tcPr>
    </w:tblStylePr>
    <w:tblStylePr w:type="firstCol">
      <w:rPr>
        <w:rFonts w:ascii="Cambria" w:hAnsi="Cambria" w:cs="Times New Roman" w:eastAsia="Times New Roman" w:hint="default"/>
        <w:b/>
        <w:bCs/>
      </w:rPr>
    </w:tblStylePr>
    <w:tblStylePr w:type="fir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18" w:space="0"/>
          <w:insideV w:val="single" w:color="8064A2" w:sz="8" w:space="0"/>
          <w:insideH w:val="none" w:color="000000" w:sz="4" w:space="0"/>
        </w:tcBorders>
      </w:tcPr>
    </w:tblStylePr>
    <w:tblStylePr w:type="lastCol">
      <w:rPr>
        <w:rFonts w:ascii="Cambria" w:hAnsi="Cambria" w:cs="Times New Roman" w:eastAsia="Times New Roman" w:hint="default"/>
        <w:b/>
        <w:bCs/>
      </w:rPr>
      <w:tcPr>
        <w:tcBorders>
          <w:left w:val="single" w:color="8064A2" w:sz="8" w:space="0"/>
          <w:top w:val="single" w:color="8064A2" w:sz="8" w:space="0"/>
          <w:right w:val="single" w:color="8064A2" w:sz="8" w:space="0"/>
          <w:bottom w:val="single" w:color="8064A2" w:sz="8" w:space="0"/>
        </w:tcBorders>
      </w:tcPr>
    </w:tblStylePr>
    <w:tblStylePr w:type="lastRow">
      <w:rPr>
        <w:rFonts w:ascii="Cambria" w:hAnsi="Cambria" w:cs="Times New Roman" w:eastAsia="Times New Roman" w:hint="default"/>
        <w:b/>
        <w:bCs/>
      </w:rPr>
      <w:pPr>
        <w:spacing w:lineRule="auto" w:line="240" w:after="0" w:afterAutospacing="0" w:before="0" w:beforeAutospacing="0"/>
      </w:pPr>
      <w:tcPr>
        <w:tcBorders>
          <w:left w:val="single" w:color="8064A2" w:sz="8" w:space="0"/>
          <w:top w:val="single" w:color="8064A2" w:sz="6" w:space="0"/>
          <w:right w:val="single" w:color="8064A2" w:sz="8" w:space="0"/>
          <w:bottom w:val="single" w:color="8064A2" w:sz="8" w:space="0"/>
          <w:insideV w:val="single" w:color="8064A2" w:sz="8" w:space="0"/>
          <w:insideH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hyperlink" Target="mailto:muapb@mail.ru" TargetMode="External"/><Relationship Id="rId11" Type="http://schemas.openxmlformats.org/officeDocument/2006/relationships/hyperlink" Target="mailto:muapb@mail.ru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revision>160</cp:revision>
  <dcterms:created xsi:type="dcterms:W3CDTF">2020-06-04T09:52:00Z</dcterms:created>
  <dcterms:modified xsi:type="dcterms:W3CDTF">2022-10-11T11:17:56Z</dcterms:modified>
</cp:coreProperties>
</file>